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08"/>
        <w:gridCol w:w="3332"/>
        <w:gridCol w:w="3065"/>
      </w:tblGrid>
      <w:tr>
        <w:trPr/>
        <w:tc>
          <w:tcPr>
            <w:tcW w:w="380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pPr>
                  <w:hyperlink r:id="rId4">
                    <w:r>
                      <w:rPr>
                        <w:rStyle w:val="InternetLink"/>
                      </w:rPr>
                      <w:t>Xu Chi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3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8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0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3"/>
        <w:gridCol w:w="901"/>
        <w:gridCol w:w="771"/>
        <w:gridCol w:w="599"/>
        <w:gridCol w:w="350"/>
        <w:gridCol w:w="934"/>
        <w:gridCol w:w="459"/>
        <w:gridCol w:w="621"/>
        <w:gridCol w:w="1170"/>
        <w:gridCol w:w="100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21,089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21,089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and the reporting person's continuous service through each vesting date, the RSUs vest in two equal installments on the first and second anniversaries of June 15, 2026, with 10,544 RSUs vest on June 15, 2027 and 10,545 RSUs vest on June 15, 2028. Each RSU represents a contingent right to receive one Class A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Chi Xu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0812"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3522</Characters>
  <CharactersWithSpaces>4106</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