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808"/>
        <w:gridCol w:w="3332"/>
        <w:gridCol w:w="3065"/>
      </w:tblGrid>
      <w:tr>
        <w:trPr/>
        <w:tc>
          <w:tcPr>
            <w:tcW w:w="3808"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pPr>
                  <w:hyperlink r:id="rId4">
                    <w:r>
                      <w:rPr>
                        <w:rStyle w:val="InternetLink"/>
                      </w:rPr>
                      <w:t>Li Yifan (Frank)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TOWER B, HONGQIAO LIANHE BUILDING</w:t>
                  </w:r>
                </w:p>
              </w:tc>
            </w:tr>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99 KAIHONG ROAD, CHANGNING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22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23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33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Chagee Holdings Ltd.</w:t>
              </w:r>
            </w:hyperlink>
            <w:r>
              <w:rPr/>
              <w:t xml:space="preserve"> [ </w:t>
            </w:r>
            <w:r>
              <w:rPr>
                <w:rFonts w:ascii="Times;serif" w:hAnsi="Times;serif"/>
                <w:color w:val="0000FF"/>
                <w:sz w:val="24"/>
                <w:shd w:fill="FFFFFF" w:val="clear"/>
              </w:rPr>
              <w:t>CHA</w:t>
            </w:r>
            <w:r>
              <w:rPr/>
              <w:t xml:space="preserve"> ] </w:t>
              <w:br/>
            </w:r>
            <w:r>
              <w:rPr>
                <w:rFonts w:ascii="arial;helvetica;sans-serif" w:hAnsi="arial;helvetica;sans-serif"/>
                <w:sz w:val="20"/>
              </w:rPr>
              <w:t>Foreign Trading Symbol</w:t>
            </w:r>
          </w:p>
        </w:tc>
        <w:tc>
          <w:tcPr>
            <w:tcW w:w="3065"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1"/>
              <w:gridCol w:w="441"/>
              <w:gridCol w:w="1032"/>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5"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8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33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80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33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5"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5"/>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6"/>
        <w:gridCol w:w="903"/>
        <w:gridCol w:w="772"/>
        <w:gridCol w:w="600"/>
        <w:gridCol w:w="352"/>
        <w:gridCol w:w="857"/>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Units</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4,363</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4,363</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pursuant to the Chagee Holdings Limited Public Company Share Incentive Plan (the "Plan"). Subject to the terms of the Plan, the RSUs become fully vested on December 15, 2026. Each RSU represents a contingent right to receive one Class A ordinary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Yifan 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9851" TargetMode="External"/><Relationship Id="rId5" Type="http://schemas.openxmlformats.org/officeDocument/2006/relationships/hyperlink" Target="http://www.sec.gov/cgi-bin/browse-edgar?action=getcompany&amp;CIK=00020136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3357</Characters>
  <CharactersWithSpaces>3907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