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4266d1_6k.htm"/>
      <w:bookmarkStart w:id="1" w:name="kstm2624266d1_6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OR 15d-16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Chagee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Tower B, Hongqiao Lianhe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99 Kaihong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Changning District, Shanghai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 200051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28" w:type="dxa"/>
          <w:right w:w="0" w:type="dxa"/>
        </w:tblCellMar>
      </w:tblPr>
      <w:tblGrid>
        <w:gridCol w:w="995"/>
        <w:gridCol w:w="60"/>
        <w:gridCol w:w="747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74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75"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62426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475" w:type="dxa"/>
            <w:tcBorders/>
            <w:tcMar>
              <w:bottom w:w="0" w:type="dxa"/>
            </w:tcMar>
            <w:vAlign w:val="center"/>
          </w:tcPr>
          <w:p>
            <w:pPr>
              <w:pStyle w:val="TableContents"/>
              <w:bidi w:val="0"/>
              <w:spacing w:before="0" w:after="283"/>
              <w:jc w:val="left"/>
              <w:rPr/>
            </w:pPr>
            <w:hyperlink w:anchor="tm2624266d1_ex99-1.htm">
              <w:r>
                <w:rPr>
                  <w:rStyle w:val="InternetLink"/>
                  <w:rFonts w:ascii="Times New Roman;Times;Serif" w:hAnsi="Times New Roman;Times;Serif"/>
                  <w:sz w:val="20"/>
                </w:rPr>
                <w:t>Press release titled “Chagee Announces Second Quarter 2026 Unaudited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00" w:type="dxa"/>
        <w:jc w:val="left"/>
        <w:tblInd w:w="0" w:type="dxa"/>
        <w:tblLayout w:type="fixed"/>
        <w:tblCellMar>
          <w:top w:w="0" w:type="dxa"/>
          <w:left w:w="0" w:type="dxa"/>
          <w:bottom w:w="0" w:type="dxa"/>
          <w:right w:w="0" w:type="dxa"/>
        </w:tblCellMar>
      </w:tblPr>
      <w:tblGrid>
        <w:gridCol w:w="1865"/>
        <w:gridCol w:w="545"/>
        <w:gridCol w:w="3890"/>
      </w:tblGrid>
      <w:tr>
        <w:trPr/>
        <w:tc>
          <w:tcPr>
            <w:tcW w:w="1865" w:type="dxa"/>
            <w:tcBorders/>
            <w:vAlign w:val="center"/>
          </w:tcPr>
          <w:p>
            <w:pPr>
              <w:pStyle w:val="TableContents"/>
              <w:bidi w:val="0"/>
              <w:spacing w:before="0" w:after="283"/>
              <w:jc w:val="left"/>
              <w:rPr/>
            </w:pPr>
            <w:r>
              <w:rPr/>
              <w:t> </w:t>
            </w:r>
          </w:p>
        </w:tc>
        <w:tc>
          <w:tcPr>
            <w:tcW w:w="44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Chagee Holdings Limited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Junjie Zhang</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Junjie Zhang</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Chief Executive Officer</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28, 2026</w:t>
            </w:r>
          </w:p>
        </w:tc>
        <w:tc>
          <w:tcPr>
            <w:tcW w:w="54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624266d1_ex99-1.htm"/>
      <w:bookmarkStart w:id="3" w:name="kstm2624266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center"/>
        <w:rPr/>
      </w:pPr>
      <w:r>
        <w:rPr/>
        <w:t> </w:t>
      </w:r>
      <w:r>
        <w:rPr/>
        <w:drawing>
          <wp:inline distT="0" distB="0" distL="0" distR="0">
            <wp:extent cx="511810" cy="187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1810" cy="187325"/>
                    </a:xfrm>
                    <a:prstGeom prst="rect">
                      <a:avLst/>
                    </a:prstGeom>
                  </pic:spPr>
                </pic:pic>
              </a:graphicData>
            </a:graphic>
          </wp:inline>
        </w:drawing>
      </w:r>
    </w:p>
    <w:p>
      <w:pPr>
        <w:pStyle w:val="TextBody"/>
        <w:pBdr>
          <w:bottom w:val="single" w:sz="8" w:space="1" w:color="000000"/>
        </w:pBdr>
        <w:bidi w:val="0"/>
        <w:jc w:val="center"/>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Chagee Announces Second Quarter 2026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August 28, 2026 (GLOBE NEWSWIRE) -- Chagee Holdings Limited (NASDAQ: CHA) (“Chagee” or the “Company”), a leading premium tea drinks brand serving healthy and delicious freshly-made tea drinks, today announced its unaudited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Quarter 2026 Operational Highlights</w:t>
      </w:r>
      <w:r>
        <w:rPr>
          <w:rFonts w:ascii="Times New Roman;Times;Serif" w:hAnsi="Times New Roman;Times;Serif"/>
          <w:b w:val="false"/>
          <w:i w:val="false"/>
          <w:caps w:val="false"/>
          <w:smallCaps w:val="false"/>
          <w:color w:val="000000"/>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As of June 30, 2026, there were 7,639 teahouses within the Company’s teahouse network in Greater China and overseas, representing an 8.5% increase in the number of teahouses as of June 30, 2025.</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Total GMV generated in the second quarter of 2026 was RMB7,660.3 million. Geographically, total GMV generated in overseas markets was RMB504.0 million in the second quarter of 2026, representing a 114.3% year-over-year increase; total GMV generated in Greater China market was RMB7,156.3 million, compared to RMB7,867.9 million in the same quarter of 2025.</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Average monthly GMV per teahouse in Greater China was RMB338,259 in the second quarter of 2026, compared to RMB356,080 in the first quarter of 2026.</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Chagee had 47.1 million active members in the second quarter of 2026, compared to 50.0 million in the first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Net revenues increased by 2.5% to RMB3,414.6 million (US$503.3 million) from RMB3,331.9 million in the same quarter of 2025.</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Operating income increased by 387.6% to RMB524.7 million (US$77.3 million) from RMB107.6 million in the same quarter of 2025.</w:t>
            </w:r>
          </w:p>
        </w:tc>
      </w:tr>
    </w:tbl>
    <w:tbl>
      <w:tblPr>
        <w:tblW w:w="9993" w:type="dxa"/>
        <w:jc w:val="left"/>
        <w:tblInd w:w="0" w:type="dxa"/>
        <w:tblLayout w:type="fixed"/>
        <w:tblCellMar>
          <w:top w:w="0" w:type="dxa"/>
          <w:left w:w="0" w:type="dxa"/>
          <w:bottom w:w="0" w:type="dxa"/>
          <w:right w:w="0" w:type="dxa"/>
        </w:tblCellMar>
      </w:tblPr>
      <w:tblGrid>
        <w:gridCol w:w="38"/>
        <w:gridCol w:w="110"/>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45" w:type="dxa"/>
            <w:tcBorders/>
            <w:vAlign w:val="center"/>
          </w:tcPr>
          <w:p>
            <w:pPr>
              <w:pStyle w:val="TableContents"/>
              <w:bidi w:val="0"/>
              <w:spacing w:before="0" w:after="283"/>
              <w:jc w:val="left"/>
              <w:rPr>
                <w:sz w:val="20"/>
              </w:rPr>
            </w:pPr>
            <w:r>
              <w:rPr>
                <w:sz w:val="20"/>
              </w:rPr>
              <w:t>GAAP net income was RMB464.8 million (US$68.5 million), compared to RMB77.2 million in the same quarter of 2025.</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Non-GAAP net income, which adjusts for share-based compensation expenses in the amount of RMB23.9 million, was RMB488.7 million (US$72.0 million), compared to RMB629.8 million in the same quarter of 2025.</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position w:val="8"/>
          <w:sz w:val="19"/>
        </w:rPr>
        <w:t>1</w:t>
      </w:r>
      <w:r>
        <w:rPr/>
        <w:t xml:space="preserve"> Please refer to the section “Key Definitions” for detailed definitions on certain terms used.</w:t>
      </w:r>
    </w:p>
    <w:p>
      <w:pPr>
        <w:pStyle w:val="TextBody"/>
        <w:bidi w:val="0"/>
        <w:spacing w:before="0" w:after="283"/>
        <w:jc w:val="left"/>
        <w:rPr/>
      </w:pPr>
      <w:r>
        <w:rPr/>
        <w:t> </w:t>
      </w:r>
    </w:p>
    <w:p>
      <w:pPr>
        <w:pStyle w:val="TextBody"/>
        <w:bidi w:val="0"/>
        <w:spacing w:before="0" w:after="0"/>
        <w:ind w:left="0" w:right="0" w:hanging="0"/>
        <w:jc w:val="right"/>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t> </w:t>
      </w:r>
      <w:r>
        <w:rPr/>
        <w:drawing>
          <wp:inline distT="0" distB="0" distL="0" distR="0">
            <wp:extent cx="511810" cy="187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1810" cy="187325"/>
                    </a:xfrm>
                    <a:prstGeom prst="rect">
                      <a:avLst/>
                    </a:prstGeom>
                  </pic:spPr>
                </pic:pic>
              </a:graphicData>
            </a:graphic>
          </wp:inline>
        </w:drawing>
      </w:r>
    </w:p>
    <w:p>
      <w:pPr>
        <w:pStyle w:val="TextBody"/>
        <w:pBdr>
          <w:bottom w:val="single" w:sz="8" w:space="1" w:color="000000"/>
        </w:pBdr>
        <w:bidi w:val="0"/>
        <w:jc w:val="center"/>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net revenues</w:t>
      </w:r>
      <w:r>
        <w:rPr>
          <w:rFonts w:ascii="Times New Roman;Times;Serif" w:hAnsi="Times New Roman;Times;Serif"/>
          <w:b w:val="false"/>
          <w:i w:val="false"/>
          <w:caps w:val="false"/>
          <w:smallCaps w:val="false"/>
          <w:sz w:val="20"/>
        </w:rPr>
        <w:t xml:space="preserve"> increased by 2.5% to RMB3,414.6 million (US$503.3 million) from RMB3,331.9 million in the same quarter of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Net revenues from franchised teahouses </w:t>
            </w:r>
            <w:r>
              <w:rPr>
                <w:sz w:val="20"/>
              </w:rPr>
              <w:t>in the second quarter of 2026 were RMB2,474.0 million (US$364.6 million), compared to RMB3,020.7 million in the same quarter of 2025. This was mainly attributable to a decrease in total GMV in Greater China resulting from the economic headwinds as well as intense industry competition. Net revenues from franchised teahouses represented 72.5% of the Company’s total net revenues for the second quarter of 2026.</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Net revenues from company-owned teahouses </w:t>
            </w:r>
            <w:r>
              <w:rPr>
                <w:sz w:val="20"/>
              </w:rPr>
              <w:t>in the second quarter of 2026 were RMB940.6 million (US$138.6 million), increasing from RMB311.2 million in the same quarter of 2025. The increase was mainly attributable to the change in the Company’s teahouse composition in Greater China and the expansion of overseas teahouse network. Net revenues from company-owned teahouses represented 27.5% of the Company’s total net revenues for the second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operating expenses</w:t>
      </w:r>
      <w:r>
        <w:rPr>
          <w:rFonts w:ascii="Times New Roman;Times;Serif" w:hAnsi="Times New Roman;Times;Serif"/>
          <w:b w:val="false"/>
          <w:i w:val="false"/>
          <w:caps w:val="false"/>
          <w:smallCaps w:val="false"/>
          <w:sz w:val="20"/>
        </w:rPr>
        <w:t xml:space="preserve"> were RMB2,889.9 million (US$425.9 million), representing a 10.4% decrease from RMB3,224.3 million in the same quarter of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Cost of materials, storage and logistics</w:t>
            </w:r>
            <w:r>
              <w:rPr>
                <w:sz w:val="20"/>
              </w:rPr>
              <w:t xml:space="preserve"> was RMB1,571.2 million (US$231.6 million), representing an increase of 2.2% from RMB1,536.8 million in the same quarter of 2025, generally in line with overall revenue growth.</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Company-owned teahouse operating costs</w:t>
            </w:r>
            <w:r>
              <w:rPr>
                <w:sz w:val="20"/>
              </w:rPr>
              <w:t xml:space="preserve"> were RMB566.8 million (US$83.5 million), representing an increase of 207.8% from RMB184.1 million in the same quarter of 2025. The increase mainly resulted from the increase in the number of company-owned teahouses, which led to higher payroll, store rental, utilities, and other store operating expenses.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Other operating costs </w:t>
            </w:r>
            <w:r>
              <w:rPr>
                <w:sz w:val="20"/>
              </w:rPr>
              <w:t>were RMB115.8 million (US$17.1 million), representing a decrease of 33.3% from RMB173.7 million in the same quarter of 2025. This was mainly due to a decrease of RMB30.2 million in payroll expenses driven by organizational structure adjustments and headcount optimization. Other operating costs as a percentage of total net revenues were 3.4%, compared to 5.2% in the same quarter of 2025.</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Sales and marketing expenses </w:t>
            </w:r>
            <w:r>
              <w:rPr>
                <w:sz w:val="20"/>
              </w:rPr>
              <w:t>were RMB301.5 million (US$44.4 million), representing a decrease of 21.7% from RMB385.0 million in the same quarter of 2025. This was mainly driven by decreases of (i) RMB30.7 million in share-based compensation expenses for sales and marketing staff; (ii) RMB31.1 million in payroll expenses (excluding share-based compensation expenses), both resulting from the streamlined branding and marketing team; and (iii) RMB14.0 million in advertising expenses supported by improved efficiency in advertising placements and precision marketing initiatives. Sales and marketing expenses as a percentage of total net revenues were 8.8%, compared to 11.6% in the same quarter of 2025.</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General and administrative expenses</w:t>
            </w:r>
            <w:r>
              <w:rPr>
                <w:sz w:val="20"/>
              </w:rPr>
              <w:t xml:space="preserve"> were RMB334.5 million (US$49.3 million), representing a decrease of 64.6% from RMB944.6 million in the same quarter of 2025. The decrease was primarily driven by decreases of (i) RMB482.7 million in share-based compensation expenses for administration, research and development staff; (ii) RMB48.0 million in payroll expenses (excluding share-based compensation expenses) and RMB30.2 million in rental, utilities, office and travelling expenses, both resulting from the streamlined administration and research team; and (iii) RMB28.6 million in professional service fees, primarily due to the service fees incurred in connection with the Company’s initial public offering in the second quarter of 2025. General and administrative expenses as a percentage of total net revenues were 9.8%, compared to 28.3% in the same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 </w:t>
      </w:r>
      <w:r>
        <w:rPr/>
        <w:drawing>
          <wp:inline distT="0" distB="0" distL="0" distR="0">
            <wp:extent cx="511810" cy="187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1810" cy="187325"/>
                    </a:xfrm>
                    <a:prstGeom prst="rect">
                      <a:avLst/>
                    </a:prstGeom>
                  </pic:spPr>
                </pic:pic>
              </a:graphicData>
            </a:graphic>
          </wp:inline>
        </w:drawing>
      </w:r>
    </w:p>
    <w:p>
      <w:pPr>
        <w:pStyle w:val="TextBody"/>
        <w:pBdr>
          <w:bottom w:val="single" w:sz="8" w:space="1" w:color="000000"/>
        </w:pBdr>
        <w:bidi w:val="0"/>
        <w:jc w:val="center"/>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xml:space="preserve"> was RMB464.8 million (US$68.5 million) in the second quarter of 2026, representing a net income margin of 13.6%, compared to RMB77.2 million, or a net income margin of 2.3%, in the same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net income</w:t>
      </w:r>
      <w:r>
        <w:rPr>
          <w:rFonts w:ascii="Times New Roman;Times;Serif" w:hAnsi="Times New Roman;Times;Serif"/>
          <w:b w:val="false"/>
          <w:i w:val="false"/>
          <w:caps w:val="false"/>
          <w:smallCaps w:val="false"/>
          <w:sz w:val="20"/>
        </w:rPr>
        <w:t xml:space="preserve"> was RMB488.7 million (US$72.0 million) in the second quarter of 2026, representing a non-GAAP net income margin of 14.3%, compared to RMB629.8 million, or a non-GAAP net income margin of 18.9%, in the same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Basic net income per ordinary share</w:t>
      </w:r>
      <w:r>
        <w:rPr>
          <w:rFonts w:ascii="Times New Roman;Times;Serif" w:hAnsi="Times New Roman;Times;Serif"/>
          <w:b w:val="false"/>
          <w:i w:val="false"/>
          <w:caps w:val="false"/>
          <w:smallCaps w:val="false"/>
          <w:sz w:val="20"/>
        </w:rPr>
        <w:t xml:space="preserve"> was RMB2.44 (US$0.36) in the second quarter of 2026, compared to RMB0.36 in the same quarter of 2025. </w:t>
      </w:r>
      <w:r>
        <w:rPr>
          <w:rFonts w:ascii="Times New Roman;Times;Serif" w:hAnsi="Times New Roman;Times;Serif"/>
          <w:b/>
          <w:i w:val="false"/>
          <w:caps w:val="false"/>
          <w:smallCaps w:val="false"/>
          <w:sz w:val="20"/>
        </w:rPr>
        <w:t>Diluted net income per ordinary share</w:t>
      </w:r>
      <w:r>
        <w:rPr>
          <w:rFonts w:ascii="Times New Roman;Times;Serif" w:hAnsi="Times New Roman;Times;Serif"/>
          <w:b w:val="false"/>
          <w:i w:val="false"/>
          <w:caps w:val="false"/>
          <w:smallCaps w:val="false"/>
          <w:sz w:val="20"/>
        </w:rPr>
        <w:t xml:space="preserve"> was RMB2.42 (US$0.36) in the second quarter of 2026, compared to RMB0.35 in the same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basic net income per ordinary share</w:t>
      </w:r>
      <w:r>
        <w:rPr>
          <w:rFonts w:ascii="Times New Roman;Times;Serif" w:hAnsi="Times New Roman;Times;Serif"/>
          <w:b w:val="false"/>
          <w:i w:val="false"/>
          <w:caps w:val="false"/>
          <w:smallCaps w:val="false"/>
          <w:sz w:val="20"/>
        </w:rPr>
        <w:t xml:space="preserve"> was RMB2.57 (US$0.38) in the second quarter of 2026, compared to RMB3.35 in the same quarter of 2025. </w:t>
      </w:r>
      <w:r>
        <w:rPr>
          <w:rFonts w:ascii="Times New Roman;Times;Serif" w:hAnsi="Times New Roman;Times;Serif"/>
          <w:b/>
          <w:i w:val="false"/>
          <w:caps w:val="false"/>
          <w:smallCaps w:val="false"/>
          <w:sz w:val="20"/>
        </w:rPr>
        <w:t>Non-GAAP diluted net income per ordinary share</w:t>
      </w:r>
      <w:r>
        <w:rPr>
          <w:rFonts w:ascii="Times New Roman;Times;Serif" w:hAnsi="Times New Roman;Times;Serif"/>
          <w:b w:val="false"/>
          <w:i w:val="false"/>
          <w:caps w:val="false"/>
          <w:smallCaps w:val="false"/>
          <w:sz w:val="20"/>
        </w:rPr>
        <w:t xml:space="preserve"> was RMB2.54 (US$0.37) in the second quarter of 2026, compared to RMB3.30 in the same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and cash equivalents, restricted cash, and time deposits</w:t>
      </w:r>
      <w:r>
        <w:rPr>
          <w:rFonts w:ascii="Times New Roman;Times;Serif" w:hAnsi="Times New Roman;Times;Serif"/>
          <w:b w:val="false"/>
          <w:i w:val="false"/>
          <w:caps w:val="false"/>
          <w:smallCaps w:val="false"/>
          <w:sz w:val="20"/>
        </w:rPr>
        <w:t xml:space="preserve"> were RMB6,795.5 million (US$1,001.5 million) as of June 30, 2026, compared to RMB7,892.4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 </w:t>
      </w:r>
      <w:r>
        <w:rPr/>
        <w:drawing>
          <wp:inline distT="0" distB="0" distL="0" distR="0">
            <wp:extent cx="511810" cy="187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11810" cy="187325"/>
                    </a:xfrm>
                    <a:prstGeom prst="rect">
                      <a:avLst/>
                    </a:prstGeom>
                  </pic:spPr>
                </pic:pic>
              </a:graphicData>
            </a:graphic>
          </wp:inline>
        </w:drawing>
      </w:r>
    </w:p>
    <w:p>
      <w:pPr>
        <w:pStyle w:val="TextBody"/>
        <w:pBdr>
          <w:bottom w:val="single" w:sz="8" w:space="1" w:color="000000"/>
        </w:pBdr>
        <w:bidi w:val="0"/>
        <w:jc w:val="center"/>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Operating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06"/>
        <w:gridCol w:w="60"/>
        <w:gridCol w:w="1034"/>
        <w:gridCol w:w="60"/>
        <w:gridCol w:w="1021"/>
        <w:gridCol w:w="60"/>
        <w:gridCol w:w="1034"/>
        <w:gridCol w:w="60"/>
        <w:gridCol w:w="1084"/>
        <w:gridCol w:w="60"/>
        <w:gridCol w:w="1126"/>
      </w:tblGrid>
      <w:tr>
        <w:trPr/>
        <w:tc>
          <w:tcPr>
            <w:tcW w:w="46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9" w:type="dxa"/>
            <w:gridSpan w:val="9"/>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 As of</w:t>
            </w:r>
          </w:p>
        </w:tc>
      </w:tr>
      <w:tr>
        <w:trPr/>
        <w:tc>
          <w:tcPr>
            <w:tcW w:w="46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4"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Jun 30, 2025</w:t>
            </w:r>
          </w:p>
        </w:tc>
        <w:tc>
          <w:tcPr>
            <w:tcW w:w="60" w:type="dxa"/>
            <w:tcBorders/>
            <w:vAlign w:val="center"/>
          </w:tcPr>
          <w:p>
            <w:pPr>
              <w:pStyle w:val="TableContents"/>
              <w:bidi w:val="0"/>
              <w:spacing w:before="0" w:after="283"/>
              <w:jc w:val="left"/>
              <w:rPr/>
            </w:pPr>
            <w:r>
              <w:rPr/>
              <w:t> </w:t>
            </w:r>
          </w:p>
        </w:tc>
        <w:tc>
          <w:tcPr>
            <w:tcW w:w="1021"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Sep 30, 2025</w:t>
            </w:r>
          </w:p>
        </w:tc>
        <w:tc>
          <w:tcPr>
            <w:tcW w:w="60" w:type="dxa"/>
            <w:tcBorders/>
            <w:vAlign w:val="center"/>
          </w:tcPr>
          <w:p>
            <w:pPr>
              <w:pStyle w:val="TableContents"/>
              <w:bidi w:val="0"/>
              <w:spacing w:before="0" w:after="283"/>
              <w:jc w:val="left"/>
              <w:rPr/>
            </w:pPr>
            <w:r>
              <w:rPr/>
              <w:t> </w:t>
            </w:r>
          </w:p>
        </w:tc>
        <w:tc>
          <w:tcPr>
            <w:tcW w:w="1034"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Dec 31, 2025</w:t>
            </w:r>
          </w:p>
        </w:tc>
        <w:tc>
          <w:tcPr>
            <w:tcW w:w="60" w:type="dxa"/>
            <w:tcBorders/>
            <w:vAlign w:val="center"/>
          </w:tcPr>
          <w:p>
            <w:pPr>
              <w:pStyle w:val="TableContents"/>
              <w:bidi w:val="0"/>
              <w:spacing w:before="0" w:after="283"/>
              <w:jc w:val="left"/>
              <w:rPr/>
            </w:pPr>
            <w:r>
              <w:rPr/>
              <w:t> </w:t>
            </w:r>
          </w:p>
        </w:tc>
        <w:tc>
          <w:tcPr>
            <w:tcW w:w="1084"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Mar 31, 2026</w:t>
            </w:r>
          </w:p>
        </w:tc>
        <w:tc>
          <w:tcPr>
            <w:tcW w:w="60" w:type="dxa"/>
            <w:tcBorders/>
            <w:vAlign w:val="center"/>
          </w:tcPr>
          <w:p>
            <w:pPr>
              <w:pStyle w:val="TableContents"/>
              <w:bidi w:val="0"/>
              <w:spacing w:before="0" w:after="283"/>
              <w:jc w:val="left"/>
              <w:rPr/>
            </w:pPr>
            <w:r>
              <w:rPr/>
              <w:t> </w:t>
            </w:r>
          </w:p>
        </w:tc>
        <w:tc>
          <w:tcPr>
            <w:tcW w:w="112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w:t>
            </w:r>
          </w:p>
        </w:tc>
      </w:tr>
      <w:tr>
        <w:trPr/>
        <w:tc>
          <w:tcPr>
            <w:tcW w:w="4606" w:type="dxa"/>
            <w:tcBorders/>
            <w:shd w:fill="CCEEFF" w:val="clear"/>
            <w:vAlign w:val="center"/>
          </w:tcPr>
          <w:p>
            <w:pPr>
              <w:pStyle w:val="TableContents"/>
              <w:bidi w:val="0"/>
              <w:spacing w:before="0" w:after="283"/>
              <w:jc w:val="left"/>
              <w:rPr>
                <w:b/>
                <w:sz w:val="20"/>
              </w:rPr>
            </w:pPr>
            <w:r>
              <w:rPr>
                <w:b/>
                <w:sz w:val="20"/>
              </w:rPr>
              <w:t>Total teahouses</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b/>
                <w:sz w:val="20"/>
              </w:rPr>
            </w:pPr>
            <w:r>
              <w:rPr>
                <w:b/>
                <w:sz w:val="20"/>
              </w:rPr>
              <w:t>7,038</w:t>
            </w:r>
          </w:p>
        </w:tc>
        <w:tc>
          <w:tcPr>
            <w:tcW w:w="6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b/>
                <w:sz w:val="20"/>
              </w:rPr>
            </w:pPr>
            <w:r>
              <w:rPr>
                <w:b/>
                <w:sz w:val="20"/>
              </w:rPr>
              <w:t>7,338</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b/>
                <w:sz w:val="20"/>
              </w:rPr>
            </w:pPr>
            <w:r>
              <w:rPr>
                <w:b/>
                <w:sz w:val="20"/>
              </w:rPr>
              <w:t>7,453</w:t>
            </w:r>
          </w:p>
        </w:tc>
        <w:tc>
          <w:tcPr>
            <w:tcW w:w="6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b/>
                <w:sz w:val="20"/>
              </w:rPr>
            </w:pPr>
            <w:r>
              <w:rPr>
                <w:b/>
                <w:sz w:val="20"/>
              </w:rPr>
              <w:t>7,531</w:t>
            </w:r>
          </w:p>
        </w:tc>
        <w:tc>
          <w:tcPr>
            <w:tcW w:w="60"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b/>
                <w:sz w:val="20"/>
              </w:rPr>
            </w:pPr>
            <w:r>
              <w:rPr>
                <w:b/>
                <w:sz w:val="20"/>
              </w:rPr>
              <w:t>7,639</w:t>
            </w:r>
          </w:p>
        </w:tc>
      </w:tr>
      <w:tr>
        <w:trPr/>
        <w:tc>
          <w:tcPr>
            <w:tcW w:w="4606" w:type="dxa"/>
            <w:tcBorders/>
            <w:shd w:fill="FFFFFF" w:val="clear"/>
            <w:vAlign w:val="center"/>
          </w:tcPr>
          <w:p>
            <w:pPr>
              <w:pStyle w:val="TableContents"/>
              <w:bidi w:val="0"/>
              <w:spacing w:before="0" w:after="283"/>
              <w:jc w:val="left"/>
              <w:rPr>
                <w:sz w:val="20"/>
              </w:rPr>
            </w:pPr>
            <w:r>
              <w:rPr>
                <w:sz w:val="20"/>
              </w:rPr>
              <w:t>Franchised teahouses</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6,799</w:t>
            </w:r>
          </w:p>
        </w:tc>
        <w:tc>
          <w:tcPr>
            <w:tcW w:w="6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sz w:val="20"/>
              </w:rPr>
            </w:pPr>
            <w:r>
              <w:rPr>
                <w:sz w:val="20"/>
              </w:rPr>
              <w:t>6,971</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6,838</w:t>
            </w:r>
          </w:p>
        </w:tc>
        <w:tc>
          <w:tcPr>
            <w:tcW w:w="6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sz w:val="20"/>
              </w:rPr>
            </w:pPr>
            <w:r>
              <w:rPr>
                <w:sz w:val="20"/>
              </w:rPr>
              <w:t>6,741</w:t>
            </w:r>
          </w:p>
        </w:tc>
        <w:tc>
          <w:tcPr>
            <w:tcW w:w="6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sz w:val="20"/>
              </w:rPr>
            </w:pPr>
            <w:r>
              <w:rPr>
                <w:sz w:val="20"/>
              </w:rPr>
              <w:t>6,756</w:t>
            </w:r>
          </w:p>
        </w:tc>
      </w:tr>
      <w:tr>
        <w:trPr/>
        <w:tc>
          <w:tcPr>
            <w:tcW w:w="4606" w:type="dxa"/>
            <w:tcBorders/>
            <w:shd w:fill="CCEEFF" w:val="clear"/>
            <w:vAlign w:val="center"/>
          </w:tcPr>
          <w:p>
            <w:pPr>
              <w:pStyle w:val="TableContents"/>
              <w:bidi w:val="0"/>
              <w:spacing w:before="0" w:after="283"/>
              <w:jc w:val="left"/>
              <w:rPr>
                <w:sz w:val="20"/>
              </w:rPr>
            </w:pPr>
            <w:r>
              <w:rPr>
                <w:sz w:val="20"/>
              </w:rPr>
              <w:t>Greater China market</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6,666</w:t>
            </w:r>
          </w:p>
        </w:tc>
        <w:tc>
          <w:tcPr>
            <w:tcW w:w="6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sz w:val="20"/>
              </w:rPr>
            </w:pPr>
            <w:r>
              <w:rPr>
                <w:sz w:val="20"/>
              </w:rPr>
              <w:t>6,836</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6,700</w:t>
            </w:r>
          </w:p>
        </w:tc>
        <w:tc>
          <w:tcPr>
            <w:tcW w:w="6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sz w:val="20"/>
              </w:rPr>
            </w:pPr>
            <w:r>
              <w:rPr>
                <w:sz w:val="20"/>
              </w:rPr>
              <w:t>6,603</w:t>
            </w:r>
          </w:p>
        </w:tc>
        <w:tc>
          <w:tcPr>
            <w:tcW w:w="60"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sz w:val="20"/>
              </w:rPr>
            </w:pPr>
            <w:r>
              <w:rPr>
                <w:sz w:val="20"/>
              </w:rPr>
              <w:t>6,616</w:t>
            </w:r>
          </w:p>
        </w:tc>
      </w:tr>
      <w:tr>
        <w:trPr/>
        <w:tc>
          <w:tcPr>
            <w:tcW w:w="4606" w:type="dxa"/>
            <w:tcBorders/>
            <w:shd w:fill="FFFFFF" w:val="clear"/>
            <w:vAlign w:val="center"/>
          </w:tcPr>
          <w:p>
            <w:pPr>
              <w:pStyle w:val="TableContents"/>
              <w:bidi w:val="0"/>
              <w:spacing w:before="0" w:after="283"/>
              <w:jc w:val="left"/>
              <w:rPr>
                <w:sz w:val="20"/>
              </w:rPr>
            </w:pPr>
            <w:r>
              <w:rPr>
                <w:sz w:val="20"/>
              </w:rPr>
              <w:t>Overseas markets</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133</w:t>
            </w:r>
          </w:p>
        </w:tc>
        <w:tc>
          <w:tcPr>
            <w:tcW w:w="6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sz w:val="20"/>
              </w:rPr>
            </w:pPr>
            <w:r>
              <w:rPr>
                <w:sz w:val="20"/>
              </w:rPr>
              <w:t>135</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138</w:t>
            </w:r>
          </w:p>
        </w:tc>
        <w:tc>
          <w:tcPr>
            <w:tcW w:w="6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sz w:val="20"/>
              </w:rPr>
            </w:pPr>
            <w:r>
              <w:rPr>
                <w:sz w:val="20"/>
              </w:rPr>
              <w:t>138</w:t>
            </w:r>
          </w:p>
        </w:tc>
        <w:tc>
          <w:tcPr>
            <w:tcW w:w="6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sz w:val="20"/>
              </w:rPr>
            </w:pPr>
            <w:r>
              <w:rPr>
                <w:sz w:val="20"/>
              </w:rPr>
              <w:t>140</w:t>
            </w:r>
          </w:p>
        </w:tc>
      </w:tr>
      <w:tr>
        <w:trPr/>
        <w:tc>
          <w:tcPr>
            <w:tcW w:w="4606" w:type="dxa"/>
            <w:tcBorders/>
            <w:shd w:fill="CCEEFF" w:val="clear"/>
            <w:vAlign w:val="center"/>
          </w:tcPr>
          <w:p>
            <w:pPr>
              <w:pStyle w:val="TableContents"/>
              <w:bidi w:val="0"/>
              <w:spacing w:before="0" w:after="283"/>
              <w:jc w:val="left"/>
              <w:rPr>
                <w:sz w:val="20"/>
              </w:rPr>
            </w:pPr>
            <w:r>
              <w:rPr>
                <w:sz w:val="20"/>
              </w:rPr>
              <w:t>Company-owned teahouses</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239</w:t>
            </w:r>
          </w:p>
        </w:tc>
        <w:tc>
          <w:tcPr>
            <w:tcW w:w="6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sz w:val="20"/>
              </w:rPr>
            </w:pPr>
            <w:r>
              <w:rPr>
                <w:sz w:val="20"/>
              </w:rPr>
              <w:t>367</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615</w:t>
            </w:r>
          </w:p>
        </w:tc>
        <w:tc>
          <w:tcPr>
            <w:tcW w:w="6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sz w:val="20"/>
              </w:rPr>
            </w:pPr>
            <w:r>
              <w:rPr>
                <w:sz w:val="20"/>
              </w:rPr>
              <w:t>790</w:t>
            </w:r>
          </w:p>
        </w:tc>
        <w:tc>
          <w:tcPr>
            <w:tcW w:w="60"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sz w:val="20"/>
              </w:rPr>
            </w:pPr>
            <w:r>
              <w:rPr>
                <w:sz w:val="20"/>
              </w:rPr>
              <w:t>883</w:t>
            </w:r>
          </w:p>
        </w:tc>
      </w:tr>
      <w:tr>
        <w:trPr/>
        <w:tc>
          <w:tcPr>
            <w:tcW w:w="4606" w:type="dxa"/>
            <w:tcBorders/>
            <w:shd w:fill="FFFFFF" w:val="clear"/>
            <w:vAlign w:val="center"/>
          </w:tcPr>
          <w:p>
            <w:pPr>
              <w:pStyle w:val="TableContents"/>
              <w:bidi w:val="0"/>
              <w:spacing w:before="0" w:after="283"/>
              <w:jc w:val="left"/>
              <w:rPr>
                <w:sz w:val="20"/>
              </w:rPr>
            </w:pPr>
            <w:r>
              <w:rPr>
                <w:sz w:val="20"/>
              </w:rPr>
              <w:t>Greater China market</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164</w:t>
            </w:r>
          </w:p>
        </w:tc>
        <w:tc>
          <w:tcPr>
            <w:tcW w:w="6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sz w:val="20"/>
              </w:rPr>
            </w:pPr>
            <w:r>
              <w:rPr>
                <w:sz w:val="20"/>
              </w:rPr>
              <w:t>240</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408</w:t>
            </w:r>
          </w:p>
        </w:tc>
        <w:tc>
          <w:tcPr>
            <w:tcW w:w="6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sz w:val="20"/>
              </w:rPr>
            </w:pPr>
            <w:r>
              <w:rPr>
                <w:sz w:val="20"/>
              </w:rPr>
              <w:t>554</w:t>
            </w:r>
          </w:p>
        </w:tc>
        <w:tc>
          <w:tcPr>
            <w:tcW w:w="6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sz w:val="20"/>
              </w:rPr>
            </w:pPr>
            <w:r>
              <w:rPr>
                <w:sz w:val="20"/>
              </w:rPr>
              <w:t>624</w:t>
            </w:r>
          </w:p>
        </w:tc>
      </w:tr>
      <w:tr>
        <w:trPr/>
        <w:tc>
          <w:tcPr>
            <w:tcW w:w="4606" w:type="dxa"/>
            <w:tcBorders/>
            <w:shd w:fill="CCEEFF" w:val="clear"/>
            <w:vAlign w:val="center"/>
          </w:tcPr>
          <w:p>
            <w:pPr>
              <w:pStyle w:val="TableContents"/>
              <w:bidi w:val="0"/>
              <w:spacing w:before="0" w:after="283"/>
              <w:jc w:val="left"/>
              <w:rPr>
                <w:sz w:val="20"/>
              </w:rPr>
            </w:pPr>
            <w:r>
              <w:rPr>
                <w:sz w:val="20"/>
              </w:rPr>
              <w:t>Overseas markets</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75</w:t>
            </w:r>
          </w:p>
        </w:tc>
        <w:tc>
          <w:tcPr>
            <w:tcW w:w="6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sz w:val="20"/>
              </w:rPr>
            </w:pPr>
            <w:r>
              <w:rPr>
                <w:sz w:val="20"/>
              </w:rPr>
              <w:t>127</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207</w:t>
            </w:r>
          </w:p>
        </w:tc>
        <w:tc>
          <w:tcPr>
            <w:tcW w:w="6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sz w:val="20"/>
              </w:rPr>
            </w:pPr>
            <w:r>
              <w:rPr>
                <w:sz w:val="20"/>
              </w:rPr>
              <w:t>236</w:t>
            </w:r>
          </w:p>
        </w:tc>
        <w:tc>
          <w:tcPr>
            <w:tcW w:w="60"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sz w:val="20"/>
              </w:rPr>
            </w:pPr>
            <w:r>
              <w:rPr>
                <w:sz w:val="20"/>
              </w:rPr>
              <w:t>259</w:t>
            </w:r>
          </w:p>
        </w:tc>
      </w:tr>
      <w:tr>
        <w:trPr/>
        <w:tc>
          <w:tcPr>
            <w:tcW w:w="4606" w:type="dxa"/>
            <w:tcBorders/>
            <w:shd w:fill="FFFFFF" w:val="clear"/>
            <w:vAlign w:val="center"/>
          </w:tcPr>
          <w:p>
            <w:pPr>
              <w:pStyle w:val="TableContents"/>
              <w:bidi w:val="0"/>
              <w:spacing w:before="0" w:after="283"/>
              <w:jc w:val="left"/>
              <w:rPr>
                <w:b/>
                <w:sz w:val="20"/>
              </w:rPr>
            </w:pPr>
            <w:r>
              <w:rPr>
                <w:b/>
                <w:sz w:val="20"/>
              </w:rPr>
              <w:t>Total GMV (RMB in million)</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b/>
                <w:sz w:val="20"/>
              </w:rPr>
            </w:pPr>
            <w:r>
              <w:rPr>
                <w:b/>
                <w:sz w:val="20"/>
              </w:rPr>
              <w:t>8,103.1</w:t>
            </w:r>
          </w:p>
        </w:tc>
        <w:tc>
          <w:tcPr>
            <w:tcW w:w="6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b/>
                <w:sz w:val="20"/>
              </w:rPr>
            </w:pPr>
            <w:r>
              <w:rPr>
                <w:b/>
                <w:sz w:val="20"/>
              </w:rPr>
              <w:t>7,929.5</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b/>
                <w:sz w:val="20"/>
              </w:rPr>
            </w:pPr>
            <w:r>
              <w:rPr>
                <w:b/>
                <w:sz w:val="20"/>
              </w:rPr>
              <w:t>7,322.9</w:t>
            </w:r>
          </w:p>
        </w:tc>
        <w:tc>
          <w:tcPr>
            <w:tcW w:w="6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b/>
                <w:sz w:val="20"/>
              </w:rPr>
            </w:pPr>
            <w:r>
              <w:rPr>
                <w:b/>
                <w:sz w:val="20"/>
              </w:rPr>
              <w:t>7,917.8</w:t>
            </w:r>
          </w:p>
        </w:tc>
        <w:tc>
          <w:tcPr>
            <w:tcW w:w="6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b/>
                <w:sz w:val="20"/>
              </w:rPr>
            </w:pPr>
            <w:r>
              <w:rPr>
                <w:b/>
                <w:sz w:val="20"/>
              </w:rPr>
              <w:t>7,660.3</w:t>
            </w:r>
          </w:p>
        </w:tc>
      </w:tr>
      <w:tr>
        <w:trPr/>
        <w:tc>
          <w:tcPr>
            <w:tcW w:w="4606" w:type="dxa"/>
            <w:tcBorders/>
            <w:shd w:fill="CCEEFF" w:val="clear"/>
            <w:vAlign w:val="center"/>
          </w:tcPr>
          <w:p>
            <w:pPr>
              <w:pStyle w:val="TableContents"/>
              <w:bidi w:val="0"/>
              <w:spacing w:before="0" w:after="283"/>
              <w:jc w:val="left"/>
              <w:rPr>
                <w:sz w:val="20"/>
              </w:rPr>
            </w:pPr>
            <w:r>
              <w:rPr>
                <w:sz w:val="20"/>
              </w:rPr>
              <w:t>Greater China market</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7,867.9</w:t>
            </w:r>
          </w:p>
        </w:tc>
        <w:tc>
          <w:tcPr>
            <w:tcW w:w="6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sz w:val="20"/>
              </w:rPr>
            </w:pPr>
            <w:r>
              <w:rPr>
                <w:sz w:val="20"/>
              </w:rPr>
              <w:t>7,629.2</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6,951.0</w:t>
            </w:r>
          </w:p>
        </w:tc>
        <w:tc>
          <w:tcPr>
            <w:tcW w:w="6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sz w:val="20"/>
              </w:rPr>
            </w:pPr>
            <w:r>
              <w:rPr>
                <w:sz w:val="20"/>
              </w:rPr>
              <w:t>7,491.4</w:t>
            </w:r>
          </w:p>
        </w:tc>
        <w:tc>
          <w:tcPr>
            <w:tcW w:w="60"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sz w:val="20"/>
              </w:rPr>
            </w:pPr>
            <w:r>
              <w:rPr>
                <w:sz w:val="20"/>
              </w:rPr>
              <w:t>7,156.3</w:t>
            </w:r>
          </w:p>
        </w:tc>
      </w:tr>
      <w:tr>
        <w:trPr/>
        <w:tc>
          <w:tcPr>
            <w:tcW w:w="4606" w:type="dxa"/>
            <w:tcBorders/>
            <w:shd w:fill="FFFFFF" w:val="clear"/>
            <w:vAlign w:val="center"/>
          </w:tcPr>
          <w:p>
            <w:pPr>
              <w:pStyle w:val="TableContents"/>
              <w:bidi w:val="0"/>
              <w:spacing w:before="0" w:after="283"/>
              <w:jc w:val="left"/>
              <w:rPr>
                <w:sz w:val="20"/>
              </w:rPr>
            </w:pPr>
            <w:r>
              <w:rPr>
                <w:sz w:val="20"/>
              </w:rPr>
              <w:t>Overseas markets</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235.2</w:t>
            </w:r>
          </w:p>
        </w:tc>
        <w:tc>
          <w:tcPr>
            <w:tcW w:w="6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sz w:val="20"/>
              </w:rPr>
            </w:pPr>
            <w:r>
              <w:rPr>
                <w:sz w:val="20"/>
              </w:rPr>
              <w:t>300.3</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371.9</w:t>
            </w:r>
          </w:p>
        </w:tc>
        <w:tc>
          <w:tcPr>
            <w:tcW w:w="6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sz w:val="20"/>
              </w:rPr>
            </w:pPr>
            <w:r>
              <w:rPr>
                <w:sz w:val="20"/>
              </w:rPr>
              <w:t>426.4</w:t>
            </w:r>
          </w:p>
        </w:tc>
        <w:tc>
          <w:tcPr>
            <w:tcW w:w="6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sz w:val="20"/>
              </w:rPr>
            </w:pPr>
            <w:r>
              <w:rPr>
                <w:sz w:val="20"/>
              </w:rPr>
              <w:t>504.0</w:t>
            </w:r>
          </w:p>
        </w:tc>
      </w:tr>
      <w:tr>
        <w:trPr/>
        <w:tc>
          <w:tcPr>
            <w:tcW w:w="4606" w:type="dxa"/>
            <w:tcBorders/>
            <w:shd w:fill="CCEEFF" w:val="clear"/>
            <w:vAlign w:val="center"/>
          </w:tcPr>
          <w:p>
            <w:pPr>
              <w:pStyle w:val="TableContents"/>
              <w:bidi w:val="0"/>
              <w:spacing w:before="0" w:after="283"/>
              <w:jc w:val="left"/>
              <w:rPr>
                <w:b/>
                <w:sz w:val="20"/>
              </w:rPr>
            </w:pPr>
            <w:r>
              <w:rPr>
                <w:b/>
                <w:sz w:val="20"/>
              </w:rPr>
              <w:t>Average monthly GMV per teahouse in Greater China (RMB)</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b/>
                <w:sz w:val="20"/>
              </w:rPr>
            </w:pPr>
            <w:r>
              <w:rPr>
                <w:b/>
                <w:sz w:val="20"/>
              </w:rPr>
              <w:t>404,352</w:t>
            </w:r>
          </w:p>
        </w:tc>
        <w:tc>
          <w:tcPr>
            <w:tcW w:w="6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b/>
                <w:sz w:val="20"/>
              </w:rPr>
            </w:pPr>
            <w:r>
              <w:rPr>
                <w:b/>
                <w:sz w:val="20"/>
              </w:rPr>
              <w:t>378,506</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b/>
                <w:sz w:val="20"/>
              </w:rPr>
            </w:pPr>
            <w:r>
              <w:rPr>
                <w:b/>
                <w:sz w:val="20"/>
              </w:rPr>
              <w:t>337,358</w:t>
            </w:r>
          </w:p>
        </w:tc>
        <w:tc>
          <w:tcPr>
            <w:tcW w:w="6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b/>
                <w:sz w:val="20"/>
              </w:rPr>
            </w:pPr>
            <w:r>
              <w:rPr>
                <w:b/>
                <w:sz w:val="20"/>
              </w:rPr>
              <w:t>356,080</w:t>
            </w:r>
          </w:p>
        </w:tc>
        <w:tc>
          <w:tcPr>
            <w:tcW w:w="60"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b/>
                <w:sz w:val="20"/>
              </w:rPr>
            </w:pPr>
            <w:r>
              <w:rPr>
                <w:b/>
                <w:sz w:val="20"/>
              </w:rPr>
              <w:t>338,259</w:t>
            </w:r>
          </w:p>
        </w:tc>
      </w:tr>
      <w:tr>
        <w:trPr/>
        <w:tc>
          <w:tcPr>
            <w:tcW w:w="4606" w:type="dxa"/>
            <w:tcBorders/>
            <w:shd w:fill="FFFFFF" w:val="clear"/>
            <w:vAlign w:val="center"/>
          </w:tcPr>
          <w:p>
            <w:pPr>
              <w:pStyle w:val="TableContents"/>
              <w:bidi w:val="0"/>
              <w:spacing w:before="0" w:after="283"/>
              <w:jc w:val="left"/>
              <w:rPr>
                <w:b/>
                <w:sz w:val="20"/>
              </w:rPr>
            </w:pPr>
            <w:r>
              <w:rPr>
                <w:b/>
                <w:sz w:val="20"/>
              </w:rPr>
              <w:t>Same store GMV growth</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b/>
                <w:sz w:val="20"/>
              </w:rPr>
            </w:pPr>
            <w:r>
              <w:rPr>
                <w:b/>
                <w:sz w:val="20"/>
              </w:rPr>
              <w:t>(23.0)%</w:t>
            </w:r>
          </w:p>
        </w:tc>
        <w:tc>
          <w:tcPr>
            <w:tcW w:w="6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b/>
                <w:sz w:val="20"/>
              </w:rPr>
            </w:pPr>
            <w:r>
              <w:rPr>
                <w:b/>
                <w:sz w:val="20"/>
              </w:rPr>
              <w:t>(27.8)%</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b/>
                <w:sz w:val="20"/>
              </w:rPr>
            </w:pPr>
            <w:r>
              <w:rPr>
                <w:b/>
                <w:sz w:val="20"/>
              </w:rPr>
              <w:t>(25.5)%</w:t>
            </w:r>
          </w:p>
        </w:tc>
        <w:tc>
          <w:tcPr>
            <w:tcW w:w="6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b/>
                <w:sz w:val="20"/>
              </w:rPr>
            </w:pPr>
            <w:r>
              <w:rPr>
                <w:b/>
                <w:sz w:val="20"/>
              </w:rPr>
              <w:t>(16.0)%</w:t>
            </w:r>
          </w:p>
        </w:tc>
        <w:tc>
          <w:tcPr>
            <w:tcW w:w="6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b/>
                <w:sz w:val="20"/>
              </w:rPr>
            </w:pPr>
            <w:r>
              <w:rPr>
                <w:b/>
                <w:sz w:val="20"/>
              </w:rPr>
              <w:t>(16.1)%</w:t>
            </w:r>
          </w:p>
        </w:tc>
      </w:tr>
      <w:tr>
        <w:trPr/>
        <w:tc>
          <w:tcPr>
            <w:tcW w:w="4606" w:type="dxa"/>
            <w:tcBorders/>
            <w:shd w:fill="CCEEFF" w:val="clear"/>
            <w:vAlign w:val="center"/>
          </w:tcPr>
          <w:p>
            <w:pPr>
              <w:pStyle w:val="TableContents"/>
              <w:bidi w:val="0"/>
              <w:spacing w:before="0" w:after="283"/>
              <w:jc w:val="left"/>
              <w:rPr>
                <w:sz w:val="20"/>
              </w:rPr>
            </w:pPr>
            <w:r>
              <w:rPr>
                <w:sz w:val="20"/>
              </w:rPr>
              <w:t>Greater China market</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(23.1)%</w:t>
            </w:r>
          </w:p>
        </w:tc>
        <w:tc>
          <w:tcPr>
            <w:tcW w:w="6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sz w:val="20"/>
              </w:rPr>
            </w:pPr>
            <w:r>
              <w:rPr>
                <w:sz w:val="20"/>
              </w:rPr>
              <w:t>(27.9)%</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(25.5)%</w:t>
            </w:r>
          </w:p>
        </w:tc>
        <w:tc>
          <w:tcPr>
            <w:tcW w:w="6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sz w:val="20"/>
              </w:rPr>
            </w:pPr>
            <w:r>
              <w:rPr>
                <w:sz w:val="20"/>
              </w:rPr>
              <w:t>(16.1)%</w:t>
            </w:r>
          </w:p>
        </w:tc>
        <w:tc>
          <w:tcPr>
            <w:tcW w:w="60"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sz w:val="20"/>
              </w:rPr>
            </w:pPr>
            <w:r>
              <w:rPr>
                <w:sz w:val="20"/>
              </w:rPr>
              <w:t>(16.1)%</w:t>
            </w:r>
          </w:p>
        </w:tc>
      </w:tr>
      <w:tr>
        <w:trPr/>
        <w:tc>
          <w:tcPr>
            <w:tcW w:w="4606" w:type="dxa"/>
            <w:tcBorders/>
            <w:shd w:fill="FFFFFF" w:val="clear"/>
            <w:vAlign w:val="center"/>
          </w:tcPr>
          <w:p>
            <w:pPr>
              <w:pStyle w:val="TableContents"/>
              <w:bidi w:val="0"/>
              <w:spacing w:before="0" w:after="283"/>
              <w:jc w:val="left"/>
              <w:rPr>
                <w:sz w:val="20"/>
              </w:rPr>
            </w:pPr>
            <w:r>
              <w:rPr>
                <w:sz w:val="20"/>
              </w:rPr>
              <w:t>Overseas markets</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(18.1)%</w:t>
            </w:r>
          </w:p>
        </w:tc>
        <w:tc>
          <w:tcPr>
            <w:tcW w:w="6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sz w:val="20"/>
              </w:rPr>
            </w:pPr>
            <w:r>
              <w:rPr>
                <w:sz w:val="20"/>
              </w:rPr>
              <w:t>(23.4)%</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(25.5)%</w:t>
            </w:r>
          </w:p>
        </w:tc>
        <w:tc>
          <w:tcPr>
            <w:tcW w:w="6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sz w:val="20"/>
              </w:rPr>
            </w:pPr>
            <w:r>
              <w:rPr>
                <w:sz w:val="20"/>
              </w:rPr>
              <w:t>(12.0)%</w:t>
            </w:r>
          </w:p>
        </w:tc>
        <w:tc>
          <w:tcPr>
            <w:tcW w:w="6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sz w:val="20"/>
              </w:rPr>
            </w:pPr>
            <w:r>
              <w:rPr>
                <w:sz w:val="20"/>
              </w:rPr>
              <w:t>(15.1)%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2026, the Board authorized a share repurchase program (the “Share Repurchase Program”) under which the Company may repurchase up to US$150 million of its Class A ordinary shares in the form of American depositary shares ("ADSs") during a twelve-month period commencing on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Share Repurchase Program, the Company had repurchased approximately 2.57 million ADSs for an aggregate consideration of US$29.5 million on the open market as of August 24, 2026. As of the same date, the remaining unutilized amount under the Share Repurchase Program was approximately US$120.5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Board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Yong Zhang has resigned as a member of the Company's board of directors (the “Board”), effective immediately. Mr. Zhang's resignation was for personal reasons. The Company would like to take this opportunity to express its appreciation to Mr. Zhang for his service to the Board in the past years. Following Mr. Yong Zhang's resignation, the Board consists of six directors, including three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 </w:t>
      </w:r>
      <w:r>
        <w:rPr/>
        <w:drawing>
          <wp:inline distT="0" distB="0" distL="0" distR="0">
            <wp:extent cx="511810" cy="187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11810" cy="187325"/>
                    </a:xfrm>
                    <a:prstGeom prst="rect">
                      <a:avLst/>
                    </a:prstGeom>
                  </pic:spPr>
                </pic:pic>
              </a:graphicData>
            </a:graphic>
          </wp:inline>
        </w:drawing>
      </w:r>
    </w:p>
    <w:p>
      <w:pPr>
        <w:pStyle w:val="TextBody"/>
        <w:pBdr>
          <w:bottom w:val="single" w:sz="8" w:space="1" w:color="000000"/>
        </w:pBdr>
        <w:bidi w:val="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Definitions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GMV</w:t>
            </w:r>
            <w:r>
              <w:rPr>
                <w:sz w:val="20"/>
              </w:rPr>
              <w:t xml:space="preserve"> (gross merchandise value) refers to gross merchandise value, a key operating metric that the Company’s management uses to measure and evaluate teahouses’ sales performance, which represents the sales value of product(s) in consumer orders (excluding unfulfilled, canceled or returned consumer orders, and including relevant value-added taxes) before discounts, if any, are applied, including shipping charges paid by consumers for orders placed on its mobile mini program, but excluding those charges paid by consumers for orders placed on other third-party online delivery platforms.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Average monthly GMV per teahouse in Greater China</w:t>
            </w:r>
            <w:r>
              <w:rPr>
                <w:sz w:val="20"/>
              </w:rPr>
              <w:t xml:space="preserve"> is calculated by dividing (i) the sum of GMV generated by the monthly fully operational teahouses in Greater China in each calendar month during the specific period by (ii) the sum of the total number of the monthly fully operational teahouses in Greater China in each calendar month during the corresponding period.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Same store GMV growth</w:t>
            </w:r>
            <w:r>
              <w:rPr>
                <w:sz w:val="20"/>
              </w:rPr>
              <w:t xml:space="preserve"> refers to the growth rate of GMV generated by same stores in Greater China and/or overseas during that specific period compared to GMV generated by these same stores during the corresponding period in the preceding year. Same stores are defined to be teahouses that (i) have been in operation for at least 13 months, and (ii) without material operational changes in both comparison periods.</w:t>
            </w:r>
          </w:p>
        </w:tc>
      </w:tr>
    </w:tbl>
    <w:tbl>
      <w:tblPr>
        <w:tblW w:w="8133" w:type="dxa"/>
        <w:jc w:val="left"/>
        <w:tblInd w:w="0" w:type="dxa"/>
        <w:tblLayout w:type="fixed"/>
        <w:tblCellMar>
          <w:top w:w="0" w:type="dxa"/>
          <w:left w:w="0" w:type="dxa"/>
          <w:bottom w:w="0" w:type="dxa"/>
          <w:right w:w="0" w:type="dxa"/>
        </w:tblCellMar>
      </w:tblPr>
      <w:tblGrid>
        <w:gridCol w:w="38"/>
        <w:gridCol w:w="11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985" w:type="dxa"/>
            <w:tcBorders/>
            <w:vAlign w:val="center"/>
          </w:tcPr>
          <w:p>
            <w:pPr>
              <w:pStyle w:val="TableContents"/>
              <w:bidi w:val="0"/>
              <w:spacing w:before="0" w:after="283"/>
              <w:jc w:val="both"/>
              <w:rPr>
                <w:sz w:val="20"/>
              </w:rPr>
            </w:pPr>
            <w:r>
              <w:rPr>
                <w:b/>
                <w:sz w:val="20"/>
              </w:rPr>
              <w:t xml:space="preserve">Non-GAAP net income. </w:t>
            </w:r>
            <w:r>
              <w:rPr>
                <w:sz w:val="20"/>
              </w:rPr>
              <w:t>Calculated by net income excluding share-based compensation expenses.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Non-GAAP basic and diluted net income per share.</w:t>
            </w:r>
            <w:r>
              <w:rPr>
                <w:sz w:val="20"/>
              </w:rPr>
              <w:t xml:space="preserve"> Calculated as non-GAAP net income attributable to the Company’s ordinary shareholders divided by weighted average number of basic and diluted shares.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team will hold a conference call at 8:00 A.M. U.S. Eastern Time on Friday, August 28, 2026 (or 8:00 P.M. Hong Kong Time on the same day) to discuss the financial results. Details for the conference call are as follows:</w:t>
      </w:r>
    </w:p>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1535"/>
        <w:gridCol w:w="7250"/>
      </w:tblGrid>
      <w:tr>
        <w:trPr/>
        <w:tc>
          <w:tcPr>
            <w:tcW w:w="1535" w:type="dxa"/>
            <w:tcBorders/>
            <w:vAlign w:val="center"/>
          </w:tcPr>
          <w:p>
            <w:pPr>
              <w:pStyle w:val="TableContents"/>
              <w:bidi w:val="0"/>
              <w:spacing w:before="0" w:after="283"/>
              <w:jc w:val="left"/>
              <w:rPr>
                <w:sz w:val="20"/>
              </w:rPr>
            </w:pPr>
            <w:r>
              <w:rPr>
                <w:sz w:val="20"/>
              </w:rPr>
              <w:t>Event Title:</w:t>
            </w:r>
          </w:p>
        </w:tc>
        <w:tc>
          <w:tcPr>
            <w:tcW w:w="7250" w:type="dxa"/>
            <w:tcBorders/>
            <w:vAlign w:val="center"/>
          </w:tcPr>
          <w:p>
            <w:pPr>
              <w:pStyle w:val="TableContents"/>
              <w:bidi w:val="0"/>
              <w:spacing w:before="0" w:after="283"/>
              <w:jc w:val="left"/>
              <w:rPr>
                <w:sz w:val="20"/>
              </w:rPr>
            </w:pPr>
            <w:r>
              <w:rPr>
                <w:sz w:val="20"/>
              </w:rPr>
              <w:t>Chagee Holdings Limited Second Quarter 2026 Earnings Conference Call</w:t>
            </w:r>
          </w:p>
        </w:tc>
      </w:tr>
      <w:tr>
        <w:trPr/>
        <w:tc>
          <w:tcPr>
            <w:tcW w:w="1535" w:type="dxa"/>
            <w:tcBorders/>
            <w:vAlign w:val="center"/>
          </w:tcPr>
          <w:p>
            <w:pPr>
              <w:pStyle w:val="TableContents"/>
              <w:bidi w:val="0"/>
              <w:spacing w:before="0" w:after="283"/>
              <w:jc w:val="left"/>
              <w:rPr>
                <w:sz w:val="20"/>
              </w:rPr>
            </w:pPr>
            <w:r>
              <w:rPr>
                <w:sz w:val="20"/>
              </w:rPr>
              <w:t>Registration Link:</w:t>
            </w:r>
          </w:p>
        </w:tc>
        <w:tc>
          <w:tcPr>
            <w:tcW w:w="7250" w:type="dxa"/>
            <w:tcBorders/>
            <w:vAlign w:val="center"/>
          </w:tcPr>
          <w:p>
            <w:pPr>
              <w:pStyle w:val="TableContents"/>
              <w:bidi w:val="0"/>
              <w:spacing w:before="0" w:after="283"/>
              <w:jc w:val="left"/>
              <w:rPr>
                <w:sz w:val="20"/>
                <w:u w:val="single"/>
              </w:rPr>
            </w:pPr>
            <w:r>
              <w:rPr>
                <w:sz w:val="20"/>
                <w:u w:val="single"/>
              </w:rPr>
              <w:t>https://register-conf.media-server.com/register/BI6caae46008444a9aa57a278859ab6d40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participants must use the link provided above to complete the online registration process in advance of the conference call. Upon registering, each participant will receive a set of participant dial-in numbers and a unique access PIN, which can be used to join the 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and archived webcast of the conference call will be available at the Company’s investor relations website at investor.chagee.com.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pPr>
      <w:r>
        <w:rPr/>
        <w:drawing>
          <wp:inline distT="0" distB="0" distL="0" distR="0">
            <wp:extent cx="511810" cy="187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11810" cy="187325"/>
                    </a:xfrm>
                    <a:prstGeom prst="rect">
                      <a:avLst/>
                    </a:prstGeom>
                  </pic:spPr>
                </pic:pic>
              </a:graphicData>
            </a:graphic>
          </wp:inline>
        </w:drawing>
      </w:r>
    </w:p>
    <w:p>
      <w:pPr>
        <w:pStyle w:val="TextBody"/>
        <w:pBdr>
          <w:bottom w:val="single" w:sz="8" w:space="1" w:color="000000"/>
        </w:pBdr>
        <w:bidi w:val="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Chagee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Chagee is a leading premium tea drinks brand, serving healthy and delicious freshly-made tea drinks. Founded in 2017, Chagee has transformed traditional tea culture into a modern lifestyle experience, leveraging cutting-edge technology and innovative branding. With its commitment to quality, innovation, and cultural connection, Chagee continues to reshape the global tea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non-GAAP net income, as well as related margin or per share data, non-GAAP financial measures, as a supplemental measure to review and assess the operating performance. The presentation of this non-GAAP financial measure is not intended to be considered in isolation or as a substitute for the financial information prepared and presented in accordance with U.S. GAAP. The Company presents this non-GAAP financial measure because it is used by the management to evaluate the operating performance and formulate business plans. The Company also believes that the use of this non-GAAP measure facilitates investors’ assessment of the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non-GAAP financial measure is not defined under U.S. GAAP and is not presented in accordance with U.S. GAAP. This non-GAAP financial measure has limitations as an analytical tool. One of the key limitations of using this non-GAAP financial measure is that it does not reflect all items of income and expense that affect the operations. Further, this non-GAAP measure may differ from the non-GAAP information used by other companies, including peer companies, and therefore its comparability may be limited. The Company compensates for these limitations by reconciling this non-GAAP financial measures to the nearest U.S. GAAP performance measure, all of which should be considered when evaluating the performance. The Company encourages you to review the financial information in its entirety and not rely on a single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non-GAAP financial measure reflects adjustments for share-based compensation expense. The Company believes that the exclusion of share-based compensation expense is appropriate because it eliminates the impact of non-cash expenses that are based upon valuation methodologies and assumptions that vary over time, and the amount of the expense can vary significantly between companies due to factors that are unrelated to their core operating performance and that can be outside of their control. Although the Company excludes share-based compensation expense from the non-GAAP measure, equity compensation has been, and will continue to be, an important part of future compensation strategy and a significant component of future expenses and may increase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RMB amounts into U.S. dollars at specified rates solely for the convenience of the reader. Unless otherwise noted, all translations from RMB to U.S. dollars are made at a rate of RMB6.7851 to US$1.00, the exchange rate set forth in the H.10 statistical release of the Board of Governors of the Federal Reserve System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pPr>
      <w:r>
        <w:rPr/>
        <w:drawing>
          <wp:inline distT="0" distB="0" distL="0" distR="0">
            <wp:extent cx="511810" cy="187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11810" cy="187325"/>
                    </a:xfrm>
                    <a:prstGeom prst="rect">
                      <a:avLst/>
                    </a:prstGeom>
                  </pic:spPr>
                </pic:pic>
              </a:graphicData>
            </a:graphic>
          </wp:inline>
        </w:drawing>
      </w:r>
    </w:p>
    <w:p>
      <w:pPr>
        <w:pStyle w:val="TextBody"/>
        <w:pBdr>
          <w:bottom w:val="single" w:sz="8" w:space="1" w:color="000000"/>
        </w:pBdr>
        <w:bidi w:val="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within the meaning of Section 21E of the U.S.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Chagee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Chagee’s beliefs and expectations, including its beliefs and expectations on overseas development, are forward-looking statements. Forward-looking statements involve inherent risks and uncertainties. A number of factors could cause actual results to differ materially from those contained in any forward-looking statement, including but not limited to the following: Chagee’s growth strategies; its future business development, results of operations and financial condition; its ability to retain and attract its customers; its ability to expand into overseas markets as expected; its ability to maintain and enhance the recognition and reputation of its brand; its ability to maintain and improve quality control policies and measures; its ability to establish and maintain relationships with its suppliers and business partners; trends and competition in China’s freshly-made tea drinks industry or China’s food and beverage sector in general; changes in its revenues and certain cost or expense items; the expected growth of China’s freshly-made tea drinks industry or China’s food and beverage sector in general; governmental policies and regulations relating to Chagee’s industry; and general economic and business conditions globally and in China and assumptions underlying or related to any of the foregoing. Further information regarding these and other risks, uncertainties or factors is included in Chagee’s filings with the SEC. All information provided in this press release and in the attachments is as of the date of this press release, and Chagee undertakes no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pPr>
      <w:r>
        <w:rPr/>
        <w:drawing>
          <wp:inline distT="0" distB="0" distL="0" distR="0">
            <wp:extent cx="511810" cy="187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11810" cy="187325"/>
                    </a:xfrm>
                    <a:prstGeom prst="rect">
                      <a:avLst/>
                    </a:prstGeom>
                  </pic:spPr>
                </pic:pic>
              </a:graphicData>
            </a:graphic>
          </wp:inline>
        </w:drawing>
      </w:r>
    </w:p>
    <w:p>
      <w:pPr>
        <w:pStyle w:val="TextBody"/>
        <w:pBdr>
          <w:bottom w:val="single" w:sz="8" w:space="1" w:color="000000"/>
        </w:pBdr>
        <w:bidi w:val="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 Yang, Partner</w:t>
        <w:br/>
        <w:t>ICR,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Chagee.IR@icrinc.com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(212) 537-5825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 Burgess, SVP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Chagee.PR@icrinc.com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pPr>
      <w:r>
        <w:rPr/>
        <w:drawing>
          <wp:inline distT="0" distB="0" distL="0" distR="0">
            <wp:extent cx="511810" cy="1873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11810" cy="187325"/>
                    </a:xfrm>
                    <a:prstGeom prst="rect">
                      <a:avLst/>
                    </a:prstGeom>
                  </pic:spPr>
                </pic:pic>
              </a:graphicData>
            </a:graphic>
          </wp:inline>
        </w:drawing>
      </w:r>
    </w:p>
    <w:p>
      <w:pPr>
        <w:pStyle w:val="TextBody"/>
        <w:pBdr>
          <w:bottom w:val="single" w:sz="8" w:space="1" w:color="000000"/>
        </w:pBdr>
        <w:bidi w:val="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CHAGEE HOLDINGS LIMITED</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BALANCE SHEETS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for share, per share data or otherwise noted)</w:t>
      </w:r>
    </w:p>
    <w:p>
      <w:pPr>
        <w:pStyle w:val="TextBody"/>
        <w:bidi w:val="0"/>
        <w:spacing w:before="0" w:after="283"/>
        <w:jc w:val="left"/>
        <w:rPr/>
      </w:pPr>
      <w:r>
        <w:rPr/>
        <w:t> </w:t>
      </w:r>
    </w:p>
    <w:tbl>
      <w:tblPr>
        <w:tblW w:w="7279" w:type="dxa"/>
        <w:jc w:val="left"/>
        <w:tblInd w:w="0" w:type="dxa"/>
        <w:tblLayout w:type="fixed"/>
        <w:tblCellMar>
          <w:top w:w="0" w:type="dxa"/>
          <w:left w:w="0" w:type="dxa"/>
          <w:bottom w:w="0" w:type="dxa"/>
          <w:right w:w="0" w:type="dxa"/>
        </w:tblCellMar>
      </w:tblPr>
      <w:tblGrid>
        <w:gridCol w:w="3350"/>
        <w:gridCol w:w="60"/>
        <w:gridCol w:w="97"/>
        <w:gridCol w:w="1542"/>
        <w:gridCol w:w="60"/>
        <w:gridCol w:w="60"/>
        <w:gridCol w:w="60"/>
        <w:gridCol w:w="950"/>
        <w:gridCol w:w="60"/>
        <w:gridCol w:w="60"/>
        <w:gridCol w:w="60"/>
        <w:gridCol w:w="845"/>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94"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US$</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639"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b/>
                <w:sz w:val="20"/>
              </w:rPr>
            </w:pPr>
            <w:r>
              <w:rPr>
                <w:b/>
                <w:sz w:val="20"/>
              </w:rPr>
              <w:t>Current Assets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sz w:val="20"/>
              </w:rPr>
            </w:pPr>
            <w:r>
              <w:rPr>
                <w:sz w:val="20"/>
              </w:rPr>
              <w:t>7,607,270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6,540,279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963,918</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Restricted cash</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sz w:val="20"/>
              </w:rPr>
            </w:pPr>
            <w:r>
              <w:rPr>
                <w:sz w:val="20"/>
              </w:rPr>
              <w:t>26,156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27,207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4,010</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Time deposits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sz w:val="20"/>
              </w:rPr>
            </w:pPr>
            <w:r>
              <w:rPr>
                <w:sz w:val="20"/>
              </w:rPr>
              <w:t>259,000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228,000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33,603</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sz w:val="20"/>
              </w:rPr>
            </w:pPr>
            <w:r>
              <w:rPr>
                <w:sz w:val="20"/>
              </w:rPr>
              <w:t>100,093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1,405,759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207,183</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sz w:val="20"/>
              </w:rPr>
            </w:pPr>
            <w:r>
              <w:rPr>
                <w:sz w:val="20"/>
              </w:rPr>
              <w:t>145,903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89,345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13,168</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Inventories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sz w:val="20"/>
              </w:rPr>
            </w:pPr>
            <w:r>
              <w:rPr>
                <w:sz w:val="20"/>
              </w:rPr>
              <w:t>228,009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301,459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44,430</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Prepayments and other current assets, net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sz w:val="20"/>
              </w:rPr>
            </w:pPr>
            <w:r>
              <w:rPr>
                <w:sz w:val="20"/>
              </w:rPr>
              <w:t>481,913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552,258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81,393</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365</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b/>
                <w:sz w:val="20"/>
              </w:rPr>
            </w:pPr>
            <w:r>
              <w:rPr>
                <w:b/>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8,850,429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9,146,783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1,348,070</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b/>
                <w:sz w:val="20"/>
              </w:rPr>
            </w:pPr>
            <w:r>
              <w:rPr>
                <w:b/>
                <w:sz w:val="20"/>
              </w:rPr>
              <w:t>Non-current assets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Long-term investments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sz w:val="20"/>
              </w:rPr>
            </w:pPr>
            <w:r>
              <w:rPr>
                <w:sz w:val="20"/>
              </w:rPr>
              <w:t>2,109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332</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sz w:val="20"/>
              </w:rPr>
            </w:pPr>
            <w:r>
              <w:rPr>
                <w:sz w:val="20"/>
              </w:rPr>
              <w:t>583,670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742,726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109,464</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Deferred tax assets, net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sz w:val="20"/>
              </w:rPr>
            </w:pPr>
            <w:r>
              <w:rPr>
                <w:sz w:val="20"/>
              </w:rPr>
              <w:t>402,821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432,281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63,710</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Right-of-use assets, net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sz w:val="20"/>
              </w:rPr>
            </w:pPr>
            <w:r>
              <w:rPr>
                <w:sz w:val="20"/>
              </w:rPr>
              <w:t>1,275,805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1,397,766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206,005</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Goodwill</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sz w:val="20"/>
              </w:rPr>
            </w:pPr>
            <w:r>
              <w:rPr>
                <w:sz w:val="20"/>
              </w:rPr>
              <w:t>97,985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167,780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24,728</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Intangible assets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sz w:val="20"/>
              </w:rPr>
            </w:pPr>
            <w:r>
              <w:rPr>
                <w:sz w:val="20"/>
              </w:rPr>
              <w:t>12,078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12,036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1,774</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238,086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296,782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43,740</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b/>
                <w:sz w:val="20"/>
              </w:rPr>
            </w:pPr>
            <w:r>
              <w:rPr>
                <w:b/>
                <w:sz w:val="20"/>
              </w:rPr>
              <w:t>Total non-current assets</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2,612,554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3,051,624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449,753</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b/>
                <w:sz w:val="20"/>
              </w:rPr>
            </w:pPr>
            <w:r>
              <w:rPr>
                <w:b/>
                <w:sz w:val="20"/>
              </w:rPr>
              <w:t>Total Assets</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42"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11,462,983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12,198,407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1,797,823</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b/>
                <w:sz w:val="20"/>
              </w:rPr>
            </w:pPr>
            <w:r>
              <w:rPr>
                <w:b/>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b/>
                <w:sz w:val="20"/>
              </w:rPr>
            </w:pPr>
            <w:r>
              <w:rPr>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Short-term borrowings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185,749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27,376</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sz w:val="20"/>
              </w:rPr>
            </w:pPr>
            <w:r>
              <w:rPr>
                <w:sz w:val="20"/>
              </w:rPr>
              <w:t>629,789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605,615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89,257</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Contract liabilities, current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sz w:val="20"/>
              </w:rPr>
            </w:pPr>
            <w:r>
              <w:rPr>
                <w:sz w:val="20"/>
              </w:rPr>
              <w:t>293,706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144,787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21,339</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Taxes payable</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sz w:val="20"/>
              </w:rPr>
            </w:pPr>
            <w:r>
              <w:rPr>
                <w:sz w:val="20"/>
              </w:rPr>
              <w:t>174,746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119,770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17,652</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sz w:val="20"/>
              </w:rPr>
            </w:pPr>
            <w:r>
              <w:rPr>
                <w:sz w:val="20"/>
              </w:rPr>
              <w:t>424,363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508,428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74,933</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1,327,348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1,153,361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169,984</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b/>
                <w:sz w:val="20"/>
              </w:rPr>
            </w:pPr>
            <w:r>
              <w:rPr>
                <w:b/>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2,849,952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2,717,710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400,541</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b/>
                <w:sz w:val="20"/>
              </w:rPr>
            </w:pPr>
            <w:r>
              <w:rPr>
                <w:b/>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Contract liabilities, non-current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sz w:val="20"/>
              </w:rPr>
            </w:pPr>
            <w:r>
              <w:rPr>
                <w:sz w:val="20"/>
              </w:rPr>
              <w:t>185,996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143,595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21,163</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849,936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898,130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132,368</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b/>
                <w:sz w:val="20"/>
              </w:rPr>
            </w:pPr>
            <w:r>
              <w:rPr>
                <w:b/>
                <w:sz w:val="20"/>
              </w:rPr>
              <w:t>Total non-current liabilities</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1,035,932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1,041,725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153,531</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b/>
                <w:sz w:val="20"/>
              </w:rPr>
            </w:pPr>
            <w:r>
              <w:rPr>
                <w:b/>
                <w:sz w:val="20"/>
              </w:rPr>
              <w:t>Total liabilities</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42"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3,885,884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3,759,435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554,072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right"/>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pPr>
      <w:r>
        <w:rPr/>
        <w:drawing>
          <wp:inline distT="0" distB="0" distL="0" distR="0">
            <wp:extent cx="511810" cy="1873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11810" cy="187325"/>
                    </a:xfrm>
                    <a:prstGeom prst="rect">
                      <a:avLst/>
                    </a:prstGeom>
                  </pic:spPr>
                </pic:pic>
              </a:graphicData>
            </a:graphic>
          </wp:inline>
        </w:drawing>
      </w:r>
    </w:p>
    <w:p>
      <w:pPr>
        <w:pStyle w:val="TextBody"/>
        <w:pBdr>
          <w:bottom w:val="single" w:sz="8" w:space="1" w:color="000000"/>
        </w:pBdr>
        <w:bidi w:val="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CHAGEE HOLDINGS LIMITED</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for share, per share data or otherwise noted)</w:t>
      </w:r>
    </w:p>
    <w:p>
      <w:pPr>
        <w:pStyle w:val="TextBody"/>
        <w:bidi w:val="0"/>
        <w:spacing w:before="0" w:after="283"/>
        <w:jc w:val="left"/>
        <w:rPr/>
      </w:pPr>
      <w:r>
        <w:rPr/>
        <w:t> </w:t>
      </w:r>
    </w:p>
    <w:tbl>
      <w:tblPr>
        <w:tblW w:w="7639" w:type="dxa"/>
        <w:jc w:val="left"/>
        <w:tblInd w:w="0" w:type="dxa"/>
        <w:tblLayout w:type="fixed"/>
        <w:tblCellMar>
          <w:top w:w="0" w:type="dxa"/>
          <w:left w:w="0" w:type="dxa"/>
          <w:bottom w:w="0" w:type="dxa"/>
          <w:right w:w="0" w:type="dxa"/>
        </w:tblCellMar>
      </w:tblPr>
      <w:tblGrid>
        <w:gridCol w:w="3650"/>
        <w:gridCol w:w="60"/>
        <w:gridCol w:w="97"/>
        <w:gridCol w:w="1542"/>
        <w:gridCol w:w="80"/>
        <w:gridCol w:w="60"/>
        <w:gridCol w:w="60"/>
        <w:gridCol w:w="950"/>
        <w:gridCol w:w="80"/>
        <w:gridCol w:w="60"/>
        <w:gridCol w:w="60"/>
        <w:gridCol w:w="845"/>
        <w:gridCol w:w="9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4"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w:t>
            </w:r>
          </w:p>
        </w:tc>
        <w:tc>
          <w:tcPr>
            <w:tcW w:w="9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w:t>
            </w:r>
          </w:p>
        </w:tc>
        <w:tc>
          <w:tcPr>
            <w:tcW w:w="9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US$</w:t>
            </w:r>
          </w:p>
        </w:tc>
        <w:tc>
          <w:tcPr>
            <w:tcW w:w="9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b/>
                <w:sz w:val="20"/>
              </w:rPr>
            </w:pPr>
            <w:r>
              <w:rPr>
                <w:b/>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Class A Ordinary shares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sz w:val="20"/>
              </w:rPr>
            </w:pPr>
            <w:r>
              <w:rPr>
                <w:sz w:val="20"/>
              </w:rPr>
              <w:t>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14</w:t>
            </w:r>
          </w:p>
        </w:tc>
        <w:tc>
          <w:tcPr>
            <w:tcW w:w="9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Class B Ordinary shares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sz w:val="20"/>
              </w:rPr>
            </w:pPr>
            <w:r>
              <w:rPr>
                <w:sz w:val="20"/>
              </w:rPr>
              <w:t>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7</w:t>
            </w:r>
          </w:p>
        </w:tc>
        <w:tc>
          <w:tcPr>
            <w:tcW w:w="9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Treasury stock</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sz w:val="20"/>
              </w:rPr>
            </w:pPr>
            <w:r>
              <w:rPr>
                <w:sz w:val="20"/>
              </w:rPr>
              <w:t>(210,082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(301,002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(44,362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650" w:type="dxa"/>
            <w:tcBorders/>
            <w:shd w:fill="CCEEFF" w:val="clear"/>
            <w:vAlign w:val="center"/>
          </w:tcPr>
          <w:p>
            <w:pPr>
              <w:pStyle w:val="TableContents"/>
              <w:bidi w:val="0"/>
              <w:spacing w:before="0" w:after="283"/>
              <w:jc w:val="left"/>
              <w:rPr>
                <w:sz w:val="20"/>
              </w:rPr>
            </w:pPr>
            <w:r>
              <w:rPr>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sz w:val="20"/>
              </w:rPr>
            </w:pPr>
            <w:r>
              <w:rPr>
                <w:sz w:val="20"/>
              </w:rPr>
              <w:t>3,696,445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3,804,618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560,731</w:t>
            </w:r>
          </w:p>
        </w:tc>
        <w:tc>
          <w:tcPr>
            <w:tcW w:w="9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Statutory reserve</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sz w:val="20"/>
              </w:rPr>
            </w:pPr>
            <w:r>
              <w:rPr>
                <w:sz w:val="20"/>
              </w:rPr>
              <w:t>34,913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53,927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7,948</w:t>
            </w:r>
          </w:p>
        </w:tc>
        <w:tc>
          <w:tcPr>
            <w:tcW w:w="9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Retained earnings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sz w:val="20"/>
              </w:rPr>
            </w:pPr>
            <w:r>
              <w:rPr>
                <w:sz w:val="20"/>
              </w:rPr>
              <w:t>3,886,242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4,784,933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705,212</w:t>
            </w:r>
          </w:p>
        </w:tc>
        <w:tc>
          <w:tcPr>
            <w:tcW w:w="9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Accumulated other comprehensive losses</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(65,858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(128,598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(18,953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650" w:type="dxa"/>
            <w:tcBorders/>
            <w:shd w:fill="CCEEFF" w:val="clear"/>
            <w:vAlign w:val="center"/>
          </w:tcPr>
          <w:p>
            <w:pPr>
              <w:pStyle w:val="TableContents"/>
              <w:bidi w:val="0"/>
              <w:spacing w:before="0" w:after="283"/>
              <w:jc w:val="left"/>
              <w:rPr>
                <w:b/>
                <w:sz w:val="20"/>
              </w:rPr>
            </w:pPr>
            <w:r>
              <w:rPr>
                <w:b/>
                <w:sz w:val="20"/>
              </w:rPr>
              <w:t>Total shareholders' equity of the Company</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7,341,802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8,214,021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1,210,597</w:t>
            </w:r>
          </w:p>
        </w:tc>
        <w:tc>
          <w:tcPr>
            <w:tcW w:w="9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235,297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224,951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33,154</w:t>
            </w:r>
          </w:p>
        </w:tc>
        <w:tc>
          <w:tcPr>
            <w:tcW w:w="9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b/>
                <w:sz w:val="20"/>
              </w:rPr>
            </w:pPr>
            <w:r>
              <w:rPr>
                <w:b/>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7,577,099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8,438,972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1,243,751</w:t>
            </w:r>
          </w:p>
        </w:tc>
        <w:tc>
          <w:tcPr>
            <w:tcW w:w="9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b/>
                <w:sz w:val="20"/>
              </w:rPr>
            </w:pPr>
            <w:r>
              <w:rPr>
                <w:b/>
                <w:sz w:val="20"/>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42"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11,462,983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12,198,407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1,797,823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pPr>
      <w:r>
        <w:rPr/>
        <w:drawing>
          <wp:inline distT="0" distB="0" distL="0" distR="0">
            <wp:extent cx="511810" cy="1873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11810" cy="187325"/>
                    </a:xfrm>
                    <a:prstGeom prst="rect">
                      <a:avLst/>
                    </a:prstGeom>
                  </pic:spPr>
                </pic:pic>
              </a:graphicData>
            </a:graphic>
          </wp:inline>
        </w:drawing>
      </w:r>
    </w:p>
    <w:p>
      <w:pPr>
        <w:pStyle w:val="TextBody"/>
        <w:pBdr>
          <w:bottom w:val="single" w:sz="8" w:space="1" w:color="000000"/>
        </w:pBdr>
        <w:bidi w:val="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CHAGEE HOLDINGS LIMITED</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for share, per share data or otherwise noted)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289"/>
        <w:gridCol w:w="60"/>
        <w:gridCol w:w="1055"/>
        <w:gridCol w:w="80"/>
        <w:gridCol w:w="1055"/>
        <w:gridCol w:w="80"/>
        <w:gridCol w:w="1055"/>
        <w:gridCol w:w="80"/>
        <w:gridCol w:w="1055"/>
        <w:gridCol w:w="125"/>
        <w:gridCol w:w="1055"/>
        <w:gridCol w:w="80"/>
        <w:gridCol w:w="1055"/>
        <w:gridCol w:w="81"/>
      </w:tblGrid>
      <w:tr>
        <w:trPr/>
        <w:tc>
          <w:tcPr>
            <w:tcW w:w="328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5"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370"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8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19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219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2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franchised teahouses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3,020,668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2,473,964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6,170,590</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5,217,906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769,024</w:t>
            </w:r>
          </w:p>
        </w:tc>
        <w:tc>
          <w:tcPr>
            <w:tcW w:w="8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company-owned teahouses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940,640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554,002</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1,742,699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256,842</w:t>
            </w:r>
          </w:p>
        </w:tc>
        <w:tc>
          <w:tcPr>
            <w:tcW w:w="8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3,331,881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3,414,604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503,250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6,724,592</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6,960,605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1,025,866</w:t>
            </w:r>
          </w:p>
        </w:tc>
        <w:tc>
          <w:tcPr>
            <w:tcW w:w="8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2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materials, storage and logistics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(1,536,787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(1,571,199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(3,127,072</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(3,145,691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(463,617</w:t>
            </w:r>
          </w:p>
        </w:tc>
        <w:tc>
          <w:tcPr>
            <w:tcW w:w="8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Company-owned teahouse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(566,762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(341,175</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(1,063,978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(156,811</w:t>
            </w:r>
          </w:p>
        </w:tc>
        <w:tc>
          <w:tcPr>
            <w:tcW w:w="8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(173,723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(346,181</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(274,794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(40,500</w:t>
            </w:r>
          </w:p>
        </w:tc>
        <w:tc>
          <w:tcPr>
            <w:tcW w:w="8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(385,040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(301,546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(684,363</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(607,748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(89,571</w:t>
            </w:r>
          </w:p>
        </w:tc>
        <w:tc>
          <w:tcPr>
            <w:tcW w:w="8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(944,585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(334,537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(1,297,411</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(796,505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(117,390</w:t>
            </w:r>
          </w:p>
        </w:tc>
        <w:tc>
          <w:tcPr>
            <w:tcW w:w="8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(3,224,267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(2,889,873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(425,914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(5,796,202</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(5,888,716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(867,889</w:t>
            </w:r>
          </w:p>
        </w:tc>
        <w:tc>
          <w:tcPr>
            <w:tcW w:w="81"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28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107,614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524,731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77,336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928,390</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1,071,889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157,977</w:t>
            </w:r>
          </w:p>
        </w:tc>
        <w:tc>
          <w:tcPr>
            <w:tcW w:w="8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66,524</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c>
          <w:tcPr>
            <w:tcW w:w="8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44,790</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11,033</w:t>
            </w:r>
          </w:p>
        </w:tc>
        <w:tc>
          <w:tcPr>
            <w:tcW w:w="8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203,641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580,841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85,606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1,039,704</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1,148,774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169,309</w:t>
            </w:r>
          </w:p>
        </w:tc>
        <w:tc>
          <w:tcPr>
            <w:tcW w:w="8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(126,403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(285,149</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(236,333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(34,831</w:t>
            </w:r>
          </w:p>
        </w:tc>
        <w:tc>
          <w:tcPr>
            <w:tcW w:w="8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77,238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464,769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68,499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754,555</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912,441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134,478</w:t>
            </w:r>
          </w:p>
        </w:tc>
        <w:tc>
          <w:tcPr>
            <w:tcW w:w="8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Net (income)/losses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(6,156</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w:t>
            </w:r>
          </w:p>
        </w:tc>
        <w:tc>
          <w:tcPr>
            <w:tcW w:w="8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69,541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467,260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68,866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748,399</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917,588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135,237</w:t>
            </w:r>
          </w:p>
        </w:tc>
        <w:tc>
          <w:tcPr>
            <w:tcW w:w="8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convertible redeemable preferred shares to redemption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(20,082</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undeclared dividends on convertible redeemable preferred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(15,702</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ordinary shareholders of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62,754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467,260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68,866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712,615</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917,588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135,237</w:t>
            </w:r>
          </w:p>
        </w:tc>
        <w:tc>
          <w:tcPr>
            <w:tcW w:w="8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ordinary shares used in computing net income per share,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168,594,146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191,363,658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191,363,658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133,861,975</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191,232,930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191,232,930</w:t>
            </w:r>
          </w:p>
        </w:tc>
        <w:tc>
          <w:tcPr>
            <w:tcW w:w="8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171,130,715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193,037,349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193,037,349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135,130,260</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192,600,225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192,600,225</w:t>
            </w:r>
          </w:p>
        </w:tc>
        <w:tc>
          <w:tcPr>
            <w:tcW w:w="8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ordinary share</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32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0.71</w:t>
            </w:r>
          </w:p>
        </w:tc>
        <w:tc>
          <w:tcPr>
            <w:tcW w:w="8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pPr>
      <w:r>
        <w:rPr/>
        <w:drawing>
          <wp:inline distT="0" distB="0" distL="0" distR="0">
            <wp:extent cx="511810" cy="1873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11810" cy="187325"/>
                    </a:xfrm>
                    <a:prstGeom prst="rect">
                      <a:avLst/>
                    </a:prstGeom>
                  </pic:spPr>
                </pic:pic>
              </a:graphicData>
            </a:graphic>
          </wp:inline>
        </w:drawing>
      </w:r>
    </w:p>
    <w:p>
      <w:pPr>
        <w:pStyle w:val="TextBody"/>
        <w:pBdr>
          <w:bottom w:val="single" w:sz="8" w:space="1" w:color="000000"/>
        </w:pBdr>
        <w:bidi w:val="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b/>
          <w:sz w:val="20"/>
        </w:rPr>
        <w:t>CHAGEE HOLDINGS LIMITED</w:t>
      </w:r>
      <w:r>
        <w:rPr/>
        <w:t xml:space="preserve"> </w:t>
      </w:r>
    </w:p>
    <w:p>
      <w:pPr>
        <w:pStyle w:val="TextBody"/>
        <w:bidi w:val="0"/>
        <w:jc w:val="center"/>
        <w:rPr/>
      </w:pPr>
      <w:r>
        <w:rPr>
          <w:b/>
          <w:sz w:val="20"/>
        </w:rPr>
        <w:t>UNAUDITED CONDENSED CONSOLIDATED STATEMENTS OF CASH FLOWS</w:t>
      </w:r>
      <w:r>
        <w:rPr/>
        <w:t xml:space="preserve"> </w:t>
      </w:r>
    </w:p>
    <w:p>
      <w:pPr>
        <w:pStyle w:val="TextBody"/>
        <w:bidi w:val="0"/>
        <w:jc w:val="center"/>
        <w:rPr>
          <w:b/>
          <w:sz w:val="20"/>
        </w:rPr>
      </w:pPr>
      <w:r>
        <w:rPr>
          <w:b/>
          <w:sz w:val="20"/>
        </w:rPr>
        <w:t>(All amounts in thousands, except for share, per share data or otherwise noted)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232"/>
        <w:gridCol w:w="60"/>
        <w:gridCol w:w="916"/>
        <w:gridCol w:w="86"/>
        <w:gridCol w:w="916"/>
        <w:gridCol w:w="86"/>
        <w:gridCol w:w="916"/>
        <w:gridCol w:w="80"/>
        <w:gridCol w:w="866"/>
        <w:gridCol w:w="81"/>
        <w:gridCol w:w="927"/>
        <w:gridCol w:w="81"/>
        <w:gridCol w:w="866"/>
        <w:gridCol w:w="92"/>
      </w:tblGrid>
      <w:tr>
        <w:trPr/>
        <w:tc>
          <w:tcPr>
            <w:tcW w:w="4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0"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 June 30,</w:t>
            </w:r>
          </w:p>
        </w:tc>
        <w:tc>
          <w:tcPr>
            <w:tcW w:w="80" w:type="dxa"/>
            <w:tcBorders/>
            <w:vAlign w:val="center"/>
          </w:tcPr>
          <w:p>
            <w:pPr>
              <w:pStyle w:val="TableContents"/>
              <w:bidi w:val="0"/>
              <w:spacing w:before="0" w:after="283"/>
              <w:jc w:val="left"/>
              <w:rPr/>
            </w:pPr>
            <w:r>
              <w:rPr/>
              <w:t> </w:t>
            </w:r>
          </w:p>
        </w:tc>
        <w:tc>
          <w:tcPr>
            <w:tcW w:w="2821"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92" w:type="dxa"/>
            <w:tcBorders/>
            <w:vAlign w:val="center"/>
          </w:tcPr>
          <w:p>
            <w:pPr>
              <w:pStyle w:val="TableContents"/>
              <w:bidi w:val="0"/>
              <w:spacing w:before="0" w:after="283"/>
              <w:jc w:val="left"/>
              <w:rPr/>
            </w:pPr>
            <w:r>
              <w:rPr/>
              <w:t> </w:t>
            </w:r>
          </w:p>
        </w:tc>
      </w:tr>
      <w:tr>
        <w:trPr/>
        <w:tc>
          <w:tcPr>
            <w:tcW w:w="4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6" w:type="dxa"/>
            <w:tcBorders/>
            <w:vAlign w:val="center"/>
          </w:tcPr>
          <w:p>
            <w:pPr>
              <w:pStyle w:val="TableContents"/>
              <w:bidi w:val="0"/>
              <w:spacing w:before="0" w:after="283"/>
              <w:jc w:val="left"/>
              <w:rPr/>
            </w:pPr>
            <w:r>
              <w:rPr/>
              <w:t> </w:t>
            </w:r>
          </w:p>
        </w:tc>
        <w:tc>
          <w:tcPr>
            <w:tcW w:w="191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86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1" w:type="dxa"/>
            <w:tcBorders/>
            <w:vAlign w:val="center"/>
          </w:tcPr>
          <w:p>
            <w:pPr>
              <w:pStyle w:val="TableContents"/>
              <w:bidi w:val="0"/>
              <w:spacing w:before="0" w:after="283"/>
              <w:jc w:val="left"/>
              <w:rPr/>
            </w:pPr>
            <w:r>
              <w:rPr/>
              <w:t> </w:t>
            </w:r>
          </w:p>
        </w:tc>
        <w:tc>
          <w:tcPr>
            <w:tcW w:w="187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2" w:type="dxa"/>
            <w:tcBorders/>
            <w:vAlign w:val="center"/>
          </w:tcPr>
          <w:p>
            <w:pPr>
              <w:pStyle w:val="TableContents"/>
              <w:bidi w:val="0"/>
              <w:spacing w:before="0" w:after="283"/>
              <w:jc w:val="left"/>
              <w:rPr/>
            </w:pPr>
            <w:r>
              <w:rPr/>
              <w:t> </w:t>
            </w:r>
          </w:p>
        </w:tc>
      </w:tr>
      <w:tr>
        <w:trPr/>
        <w:tc>
          <w:tcPr>
            <w:tcW w:w="4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RMB</w:t>
            </w:r>
          </w:p>
        </w:tc>
        <w:tc>
          <w:tcPr>
            <w:tcW w:w="8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RMB</w:t>
            </w:r>
          </w:p>
        </w:tc>
        <w:tc>
          <w:tcPr>
            <w:tcW w:w="8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US$</w:t>
            </w:r>
          </w:p>
        </w:tc>
        <w:tc>
          <w:tcPr>
            <w:tcW w:w="80"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center"/>
              <w:rPr>
                <w:b/>
                <w:sz w:val="20"/>
              </w:rPr>
            </w:pPr>
            <w:r>
              <w:rPr>
                <w:b/>
                <w:sz w:val="20"/>
              </w:rPr>
              <w:t>RMB</w:t>
            </w:r>
          </w:p>
        </w:tc>
        <w:tc>
          <w:tcPr>
            <w:tcW w:w="81"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center"/>
              <w:rPr>
                <w:b/>
                <w:sz w:val="20"/>
              </w:rPr>
            </w:pPr>
            <w:r>
              <w:rPr>
                <w:b/>
                <w:sz w:val="20"/>
              </w:rPr>
              <w:t>RMB</w:t>
            </w:r>
          </w:p>
        </w:tc>
        <w:tc>
          <w:tcPr>
            <w:tcW w:w="81"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center"/>
              <w:rPr>
                <w:b/>
                <w:sz w:val="20"/>
              </w:rPr>
            </w:pPr>
            <w:r>
              <w:rPr>
                <w:b/>
                <w:sz w:val="20"/>
              </w:rPr>
              <w:t>US$</w:t>
            </w:r>
          </w:p>
        </w:tc>
        <w:tc>
          <w:tcPr>
            <w:tcW w:w="92" w:type="dxa"/>
            <w:tcBorders/>
            <w:vAlign w:val="center"/>
          </w:tcPr>
          <w:p>
            <w:pPr>
              <w:pStyle w:val="TableContents"/>
              <w:bidi w:val="0"/>
              <w:spacing w:before="0" w:after="283"/>
              <w:ind w:left="0" w:right="0" w:hanging="174"/>
              <w:jc w:val="left"/>
              <w:rPr/>
            </w:pPr>
            <w:r>
              <w:rPr/>
              <w:t> </w:t>
            </w:r>
          </w:p>
        </w:tc>
      </w:tr>
      <w:tr>
        <w:trPr/>
        <w:tc>
          <w:tcPr>
            <w:tcW w:w="4232" w:type="dxa"/>
            <w:tcBorders/>
            <w:shd w:fill="CCEEFF" w:val="clear"/>
            <w:vAlign w:val="center"/>
          </w:tcPr>
          <w:p>
            <w:pPr>
              <w:pStyle w:val="TableContents"/>
              <w:bidi w:val="0"/>
              <w:spacing w:before="0" w:after="283"/>
              <w:jc w:val="left"/>
              <w:rPr>
                <w:sz w:val="20"/>
              </w:rPr>
            </w:pPr>
            <w:r>
              <w:rPr>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20"/>
              </w:rPr>
            </w:pPr>
            <w:r>
              <w:rPr>
                <w:sz w:val="20"/>
              </w:rPr>
              <w:t>611,127</w:t>
            </w:r>
          </w:p>
        </w:tc>
        <w:tc>
          <w:tcPr>
            <w:tcW w:w="8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20"/>
              </w:rPr>
            </w:pPr>
            <w:r>
              <w:rPr>
                <w:sz w:val="20"/>
              </w:rPr>
              <w:t>358,453</w:t>
            </w:r>
          </w:p>
        </w:tc>
        <w:tc>
          <w:tcPr>
            <w:tcW w:w="8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20"/>
              </w:rPr>
            </w:pPr>
            <w:r>
              <w:rPr>
                <w:sz w:val="20"/>
              </w:rPr>
              <w:t>52,829</w:t>
            </w:r>
          </w:p>
        </w:tc>
        <w:tc>
          <w:tcPr>
            <w:tcW w:w="80"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sz w:val="20"/>
              </w:rPr>
            </w:pPr>
            <w:r>
              <w:rPr>
                <w:sz w:val="20"/>
              </w:rPr>
              <w:t>971,159</w:t>
            </w:r>
          </w:p>
        </w:tc>
        <w:tc>
          <w:tcPr>
            <w:tcW w:w="8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sz w:val="20"/>
              </w:rPr>
            </w:pPr>
            <w:r>
              <w:rPr>
                <w:sz w:val="20"/>
              </w:rPr>
              <w:t>551,773</w:t>
            </w:r>
          </w:p>
        </w:tc>
        <w:tc>
          <w:tcPr>
            <w:tcW w:w="81"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sz w:val="20"/>
              </w:rPr>
            </w:pPr>
            <w:r>
              <w:rPr>
                <w:sz w:val="20"/>
              </w:rPr>
              <w:t>81,321</w:t>
            </w:r>
          </w:p>
        </w:tc>
        <w:tc>
          <w:tcPr>
            <w:tcW w:w="92" w:type="dxa"/>
            <w:tcBorders/>
            <w:shd w:fill="CCEEFF" w:val="clear"/>
            <w:vAlign w:val="center"/>
          </w:tcPr>
          <w:p>
            <w:pPr>
              <w:pStyle w:val="TableContents"/>
              <w:bidi w:val="0"/>
              <w:spacing w:before="0" w:after="283"/>
              <w:ind w:left="0" w:right="0" w:hanging="174"/>
              <w:jc w:val="left"/>
              <w:rPr/>
            </w:pPr>
            <w:r>
              <w:rPr/>
              <w:t> </w:t>
            </w:r>
          </w:p>
        </w:tc>
      </w:tr>
      <w:tr>
        <w:trPr/>
        <w:tc>
          <w:tcPr>
            <w:tcW w:w="4232" w:type="dxa"/>
            <w:tcBorders/>
            <w:shd w:fill="FFFFFF" w:val="clear"/>
            <w:vAlign w:val="center"/>
          </w:tcPr>
          <w:p>
            <w:pPr>
              <w:pStyle w:val="TableContents"/>
              <w:bidi w:val="0"/>
              <w:spacing w:before="0" w:after="283"/>
              <w:jc w:val="left"/>
              <w:rPr>
                <w:sz w:val="20"/>
              </w:rPr>
            </w:pPr>
            <w:r>
              <w:rPr>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20"/>
              </w:rPr>
            </w:pPr>
            <w:r>
              <w:rPr>
                <w:sz w:val="20"/>
              </w:rPr>
              <w:t>(116,825</w:t>
            </w:r>
          </w:p>
        </w:tc>
        <w:tc>
          <w:tcPr>
            <w:tcW w:w="86" w:type="dxa"/>
            <w:tcBorders/>
            <w:shd w:fill="FFFFFF" w:val="clear"/>
            <w:vAlign w:val="center"/>
          </w:tcPr>
          <w:p>
            <w:pPr>
              <w:pStyle w:val="TableContents"/>
              <w:bidi w:val="0"/>
              <w:spacing w:before="0" w:after="283"/>
              <w:jc w:val="left"/>
              <w:rPr>
                <w:sz w:val="20"/>
              </w:rPr>
            </w:pPr>
            <w:r>
              <w:rPr>
                <w:sz w:val="20"/>
              </w:rPr>
              <w:t>)</w:t>
            </w:r>
          </w:p>
        </w:tc>
        <w:tc>
          <w:tcPr>
            <w:tcW w:w="916" w:type="dxa"/>
            <w:tcBorders/>
            <w:shd w:fill="FFFFFF" w:val="clear"/>
            <w:vAlign w:val="center"/>
          </w:tcPr>
          <w:p>
            <w:pPr>
              <w:pStyle w:val="TableContents"/>
              <w:bidi w:val="0"/>
              <w:spacing w:before="0" w:after="283"/>
              <w:jc w:val="right"/>
              <w:rPr>
                <w:sz w:val="20"/>
              </w:rPr>
            </w:pPr>
            <w:r>
              <w:rPr>
                <w:sz w:val="20"/>
              </w:rPr>
              <w:t>(998,432</w:t>
            </w:r>
          </w:p>
        </w:tc>
        <w:tc>
          <w:tcPr>
            <w:tcW w:w="86" w:type="dxa"/>
            <w:tcBorders/>
            <w:shd w:fill="FFFFFF" w:val="clear"/>
            <w:vAlign w:val="center"/>
          </w:tcPr>
          <w:p>
            <w:pPr>
              <w:pStyle w:val="TableContents"/>
              <w:bidi w:val="0"/>
              <w:spacing w:before="0" w:after="283"/>
              <w:jc w:val="left"/>
              <w:rPr>
                <w:sz w:val="20"/>
              </w:rPr>
            </w:pPr>
            <w:r>
              <w:rPr>
                <w:sz w:val="20"/>
              </w:rPr>
              <w:t>)</w:t>
            </w:r>
          </w:p>
        </w:tc>
        <w:tc>
          <w:tcPr>
            <w:tcW w:w="916" w:type="dxa"/>
            <w:tcBorders/>
            <w:shd w:fill="FFFFFF" w:val="clear"/>
            <w:vAlign w:val="center"/>
          </w:tcPr>
          <w:p>
            <w:pPr>
              <w:pStyle w:val="TableContents"/>
              <w:bidi w:val="0"/>
              <w:spacing w:before="0" w:after="283"/>
              <w:jc w:val="right"/>
              <w:rPr>
                <w:sz w:val="20"/>
              </w:rPr>
            </w:pPr>
            <w:r>
              <w:rPr>
                <w:sz w:val="20"/>
              </w:rPr>
              <w:t>(147,151</w:t>
            </w:r>
          </w:p>
        </w:tc>
        <w:tc>
          <w:tcPr>
            <w:tcW w:w="80" w:type="dxa"/>
            <w:tcBorders/>
            <w:shd w:fill="FFFFFF" w:val="clear"/>
            <w:vAlign w:val="center"/>
          </w:tcPr>
          <w:p>
            <w:pPr>
              <w:pStyle w:val="TableContents"/>
              <w:bidi w:val="0"/>
              <w:spacing w:before="0" w:after="283"/>
              <w:jc w:val="left"/>
              <w:rPr>
                <w:sz w:val="20"/>
              </w:rPr>
            </w:pPr>
            <w:r>
              <w:rPr>
                <w:sz w:val="20"/>
              </w:rPr>
              <w:t>)</w:t>
            </w:r>
          </w:p>
        </w:tc>
        <w:tc>
          <w:tcPr>
            <w:tcW w:w="866" w:type="dxa"/>
            <w:tcBorders/>
            <w:shd w:fill="FFFFFF" w:val="clear"/>
            <w:vAlign w:val="center"/>
          </w:tcPr>
          <w:p>
            <w:pPr>
              <w:pStyle w:val="TableContents"/>
              <w:bidi w:val="0"/>
              <w:spacing w:before="0" w:after="283"/>
              <w:jc w:val="right"/>
              <w:rPr>
                <w:sz w:val="20"/>
              </w:rPr>
            </w:pPr>
            <w:r>
              <w:rPr>
                <w:sz w:val="20"/>
              </w:rPr>
              <w:t>(309,304</w:t>
            </w:r>
          </w:p>
        </w:tc>
        <w:tc>
          <w:tcPr>
            <w:tcW w:w="81" w:type="dxa"/>
            <w:tcBorders/>
            <w:shd w:fill="FFFFFF" w:val="clear"/>
            <w:vAlign w:val="center"/>
          </w:tcPr>
          <w:p>
            <w:pPr>
              <w:pStyle w:val="TableContents"/>
              <w:bidi w:val="0"/>
              <w:spacing w:before="0" w:after="283"/>
              <w:jc w:val="left"/>
              <w:rPr>
                <w:sz w:val="20"/>
              </w:rPr>
            </w:pPr>
            <w:r>
              <w:rPr>
                <w:sz w:val="20"/>
              </w:rPr>
              <w:t>)</w:t>
            </w:r>
          </w:p>
        </w:tc>
        <w:tc>
          <w:tcPr>
            <w:tcW w:w="927" w:type="dxa"/>
            <w:tcBorders/>
            <w:shd w:fill="FFFFFF" w:val="clear"/>
            <w:vAlign w:val="center"/>
          </w:tcPr>
          <w:p>
            <w:pPr>
              <w:pStyle w:val="TableContents"/>
              <w:bidi w:val="0"/>
              <w:spacing w:before="0" w:after="283"/>
              <w:jc w:val="right"/>
              <w:rPr>
                <w:sz w:val="20"/>
              </w:rPr>
            </w:pPr>
            <w:r>
              <w:rPr>
                <w:sz w:val="20"/>
              </w:rPr>
              <w:t>(1,673,828</w:t>
            </w:r>
          </w:p>
        </w:tc>
        <w:tc>
          <w:tcPr>
            <w:tcW w:w="81" w:type="dxa"/>
            <w:tcBorders/>
            <w:shd w:fill="FFFFFF" w:val="clear"/>
            <w:vAlign w:val="center"/>
          </w:tcPr>
          <w:p>
            <w:pPr>
              <w:pStyle w:val="TableContents"/>
              <w:bidi w:val="0"/>
              <w:spacing w:before="0" w:after="283"/>
              <w:jc w:val="left"/>
              <w:rPr>
                <w:sz w:val="20"/>
              </w:rPr>
            </w:pPr>
            <w:r>
              <w:rPr>
                <w:sz w:val="20"/>
              </w:rPr>
              <w:t>)</w:t>
            </w:r>
          </w:p>
        </w:tc>
        <w:tc>
          <w:tcPr>
            <w:tcW w:w="866" w:type="dxa"/>
            <w:tcBorders/>
            <w:shd w:fill="FFFFFF" w:val="clear"/>
            <w:vAlign w:val="center"/>
          </w:tcPr>
          <w:p>
            <w:pPr>
              <w:pStyle w:val="TableContents"/>
              <w:bidi w:val="0"/>
              <w:spacing w:before="0" w:after="283"/>
              <w:jc w:val="right"/>
              <w:rPr>
                <w:sz w:val="20"/>
              </w:rPr>
            </w:pPr>
            <w:r>
              <w:rPr>
                <w:sz w:val="20"/>
              </w:rPr>
              <w:t>(246,692</w:t>
            </w:r>
          </w:p>
        </w:tc>
        <w:tc>
          <w:tcPr>
            <w:tcW w:w="92" w:type="dxa"/>
            <w:tcBorders/>
            <w:shd w:fill="FFFFFF" w:val="clear"/>
            <w:vAlign w:val="center"/>
          </w:tcPr>
          <w:p>
            <w:pPr>
              <w:pStyle w:val="TableContents"/>
              <w:bidi w:val="0"/>
              <w:spacing w:before="0" w:after="283"/>
              <w:ind w:left="0" w:right="0" w:hanging="174"/>
              <w:jc w:val="left"/>
              <w:rPr>
                <w:sz w:val="20"/>
              </w:rPr>
            </w:pPr>
            <w:r>
              <w:rPr>
                <w:sz w:val="20"/>
              </w:rPr>
              <w:t>)</w:t>
            </w:r>
          </w:p>
        </w:tc>
      </w:tr>
      <w:tr>
        <w:trPr/>
        <w:tc>
          <w:tcPr>
            <w:tcW w:w="4232" w:type="dxa"/>
            <w:tcBorders/>
            <w:shd w:fill="CCEEFF" w:val="clear"/>
            <w:vAlign w:val="center"/>
          </w:tcPr>
          <w:p>
            <w:pPr>
              <w:pStyle w:val="TableContents"/>
              <w:bidi w:val="0"/>
              <w:spacing w:before="0" w:after="283"/>
              <w:jc w:val="left"/>
              <w:rPr>
                <w:sz w:val="20"/>
              </w:rPr>
            </w:pPr>
            <w:r>
              <w:rPr>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20"/>
              </w:rPr>
            </w:pPr>
            <w:r>
              <w:rPr>
                <w:sz w:val="20"/>
              </w:rPr>
              <w:t>3,036,205</w:t>
            </w:r>
          </w:p>
        </w:tc>
        <w:tc>
          <w:tcPr>
            <w:tcW w:w="8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20"/>
              </w:rPr>
            </w:pPr>
            <w:r>
              <w:rPr>
                <w:sz w:val="20"/>
              </w:rPr>
              <w:t>90,978</w:t>
            </w:r>
          </w:p>
        </w:tc>
        <w:tc>
          <w:tcPr>
            <w:tcW w:w="8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20"/>
              </w:rPr>
            </w:pPr>
            <w:r>
              <w:rPr>
                <w:sz w:val="20"/>
              </w:rPr>
              <w:t>13,408</w:t>
            </w:r>
          </w:p>
        </w:tc>
        <w:tc>
          <w:tcPr>
            <w:tcW w:w="80"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sz w:val="20"/>
              </w:rPr>
            </w:pPr>
            <w:r>
              <w:rPr>
                <w:sz w:val="20"/>
              </w:rPr>
              <w:t>3,238,377</w:t>
            </w:r>
          </w:p>
        </w:tc>
        <w:tc>
          <w:tcPr>
            <w:tcW w:w="8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sz w:val="20"/>
              </w:rPr>
            </w:pPr>
            <w:r>
              <w:rPr>
                <w:sz w:val="20"/>
              </w:rPr>
              <w:t>117,880</w:t>
            </w:r>
          </w:p>
        </w:tc>
        <w:tc>
          <w:tcPr>
            <w:tcW w:w="81"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sz w:val="20"/>
              </w:rPr>
            </w:pPr>
            <w:r>
              <w:rPr>
                <w:sz w:val="20"/>
              </w:rPr>
              <w:t>17,373</w:t>
            </w:r>
          </w:p>
        </w:tc>
        <w:tc>
          <w:tcPr>
            <w:tcW w:w="92" w:type="dxa"/>
            <w:tcBorders/>
            <w:shd w:fill="CCEEFF" w:val="clear"/>
            <w:vAlign w:val="center"/>
          </w:tcPr>
          <w:p>
            <w:pPr>
              <w:pStyle w:val="TableContents"/>
              <w:bidi w:val="0"/>
              <w:spacing w:before="0" w:after="283"/>
              <w:ind w:left="0" w:right="0" w:hanging="174"/>
              <w:jc w:val="left"/>
              <w:rPr/>
            </w:pPr>
            <w:r>
              <w:rPr/>
              <w:t> </w:t>
            </w:r>
          </w:p>
        </w:tc>
      </w:tr>
      <w:tr>
        <w:trPr/>
        <w:tc>
          <w:tcPr>
            <w:tcW w:w="4232" w:type="dxa"/>
            <w:tcBorders/>
            <w:shd w:fill="FFFFFF" w:val="clear"/>
            <w:vAlign w:val="center"/>
          </w:tcPr>
          <w:p>
            <w:pPr>
              <w:pStyle w:val="TableContents"/>
              <w:bidi w:val="0"/>
              <w:spacing w:before="0" w:after="283"/>
              <w:jc w:val="left"/>
              <w:rPr>
                <w:sz w:val="20"/>
              </w:rPr>
            </w:pPr>
            <w:r>
              <w:rPr>
                <w:sz w:val="20"/>
              </w:rPr>
              <w:t>Effect of exchange rate changes on cash and cash equivalents, restricted cash</w:t>
            </w:r>
          </w:p>
        </w:tc>
        <w:tc>
          <w:tcPr>
            <w:tcW w:w="60"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(36,102</w:t>
            </w:r>
          </w:p>
        </w:tc>
        <w:tc>
          <w:tcPr>
            <w:tcW w:w="86" w:type="dxa"/>
            <w:tcBorders/>
            <w:shd w:fill="FFFFFF" w:val="clear"/>
            <w:vAlign w:val="center"/>
          </w:tcPr>
          <w:p>
            <w:pPr>
              <w:pStyle w:val="TableContents"/>
              <w:bidi w:val="0"/>
              <w:spacing w:before="0" w:after="283"/>
              <w:jc w:val="left"/>
              <w:rPr>
                <w:sz w:val="20"/>
              </w:rPr>
            </w:pPr>
            <w:r>
              <w:rPr>
                <w:sz w:val="20"/>
              </w:rPr>
              <w:t>)</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(29,805</w:t>
            </w:r>
          </w:p>
        </w:tc>
        <w:tc>
          <w:tcPr>
            <w:tcW w:w="86" w:type="dxa"/>
            <w:tcBorders/>
            <w:shd w:fill="FFFFFF" w:val="clear"/>
            <w:vAlign w:val="center"/>
          </w:tcPr>
          <w:p>
            <w:pPr>
              <w:pStyle w:val="TableContents"/>
              <w:bidi w:val="0"/>
              <w:spacing w:before="0" w:after="283"/>
              <w:jc w:val="left"/>
              <w:rPr>
                <w:sz w:val="20"/>
              </w:rPr>
            </w:pPr>
            <w:r>
              <w:rPr>
                <w:sz w:val="20"/>
              </w:rPr>
              <w:t>)</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(4,391</w:t>
            </w:r>
          </w:p>
        </w:tc>
        <w:tc>
          <w:tcPr>
            <w:tcW w:w="80" w:type="dxa"/>
            <w:tcBorders/>
            <w:shd w:fill="FFFFFF" w:val="clear"/>
            <w:vAlign w:val="center"/>
          </w:tcPr>
          <w:p>
            <w:pPr>
              <w:pStyle w:val="TableContents"/>
              <w:bidi w:val="0"/>
              <w:spacing w:before="0" w:after="283"/>
              <w:jc w:val="left"/>
              <w:rPr>
                <w:sz w:val="20"/>
              </w:rPr>
            </w:pPr>
            <w:r>
              <w:rPr>
                <w:sz w:val="20"/>
              </w:rPr>
              <w:t>)</w:t>
            </w:r>
          </w:p>
        </w:tc>
        <w:tc>
          <w:tcPr>
            <w:tcW w:w="8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(41,122</w:t>
            </w:r>
          </w:p>
        </w:tc>
        <w:tc>
          <w:tcPr>
            <w:tcW w:w="81" w:type="dxa"/>
            <w:tcBorders/>
            <w:shd w:fill="FFFFFF" w:val="clear"/>
            <w:vAlign w:val="center"/>
          </w:tcPr>
          <w:p>
            <w:pPr>
              <w:pStyle w:val="TableContents"/>
              <w:bidi w:val="0"/>
              <w:spacing w:before="0" w:after="283"/>
              <w:jc w:val="left"/>
              <w:rPr>
                <w:sz w:val="20"/>
              </w:rPr>
            </w:pPr>
            <w:r>
              <w:rPr>
                <w:sz w:val="20"/>
              </w:rPr>
              <w:t>)</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(61,765</w:t>
            </w:r>
          </w:p>
        </w:tc>
        <w:tc>
          <w:tcPr>
            <w:tcW w:w="81" w:type="dxa"/>
            <w:tcBorders/>
            <w:shd w:fill="FFFFFF" w:val="clear"/>
            <w:vAlign w:val="center"/>
          </w:tcPr>
          <w:p>
            <w:pPr>
              <w:pStyle w:val="TableContents"/>
              <w:bidi w:val="0"/>
              <w:spacing w:before="0" w:after="283"/>
              <w:jc w:val="left"/>
              <w:rPr>
                <w:sz w:val="20"/>
              </w:rPr>
            </w:pPr>
            <w:r>
              <w:rPr>
                <w:sz w:val="20"/>
              </w:rPr>
              <w:t>)</w:t>
            </w:r>
          </w:p>
        </w:tc>
        <w:tc>
          <w:tcPr>
            <w:tcW w:w="8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(9,102</w:t>
            </w:r>
          </w:p>
        </w:tc>
        <w:tc>
          <w:tcPr>
            <w:tcW w:w="92" w:type="dxa"/>
            <w:tcBorders/>
            <w:shd w:fill="FFFFFF" w:val="clear"/>
            <w:vAlign w:val="center"/>
          </w:tcPr>
          <w:p>
            <w:pPr>
              <w:pStyle w:val="TableContents"/>
              <w:bidi w:val="0"/>
              <w:spacing w:before="0" w:after="283"/>
              <w:ind w:left="0" w:right="0" w:hanging="174"/>
              <w:jc w:val="left"/>
              <w:rPr>
                <w:sz w:val="20"/>
              </w:rPr>
            </w:pPr>
            <w:r>
              <w:rPr>
                <w:sz w:val="20"/>
              </w:rPr>
              <w:t>)</w:t>
            </w:r>
          </w:p>
        </w:tc>
      </w:tr>
      <w:tr>
        <w:trPr/>
        <w:tc>
          <w:tcPr>
            <w:tcW w:w="4232" w:type="dxa"/>
            <w:tcBorders/>
            <w:shd w:fill="CCEEFF" w:val="clear"/>
            <w:vAlign w:val="center"/>
          </w:tcPr>
          <w:p>
            <w:pPr>
              <w:pStyle w:val="TableContents"/>
              <w:bidi w:val="0"/>
              <w:spacing w:before="0" w:after="283"/>
              <w:jc w:val="left"/>
              <w:rPr>
                <w:sz w:val="20"/>
              </w:rPr>
            </w:pPr>
            <w:r>
              <w:rPr>
                <w:sz w:val="20"/>
              </w:rPr>
              <w:t>Net increase/(decrease) in 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20"/>
              </w:rPr>
            </w:pPr>
            <w:r>
              <w:rPr>
                <w:sz w:val="20"/>
              </w:rPr>
              <w:t>3,494,405</w:t>
            </w:r>
          </w:p>
        </w:tc>
        <w:tc>
          <w:tcPr>
            <w:tcW w:w="8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20"/>
              </w:rPr>
            </w:pPr>
            <w:r>
              <w:rPr>
                <w:sz w:val="20"/>
              </w:rPr>
              <w:t>(578,806</w:t>
            </w:r>
          </w:p>
        </w:tc>
        <w:tc>
          <w:tcPr>
            <w:tcW w:w="86" w:type="dxa"/>
            <w:tcBorders/>
            <w:shd w:fill="CCEEFF" w:val="clear"/>
            <w:vAlign w:val="center"/>
          </w:tcPr>
          <w:p>
            <w:pPr>
              <w:pStyle w:val="TableContents"/>
              <w:bidi w:val="0"/>
              <w:spacing w:before="0" w:after="283"/>
              <w:jc w:val="left"/>
              <w:rPr>
                <w:sz w:val="20"/>
              </w:rPr>
            </w:pPr>
            <w:r>
              <w:rPr>
                <w:sz w:val="20"/>
              </w:rPr>
              <w:t>)</w:t>
            </w:r>
          </w:p>
        </w:tc>
        <w:tc>
          <w:tcPr>
            <w:tcW w:w="916" w:type="dxa"/>
            <w:tcBorders/>
            <w:shd w:fill="CCEEFF" w:val="clear"/>
            <w:vAlign w:val="center"/>
          </w:tcPr>
          <w:p>
            <w:pPr>
              <w:pStyle w:val="TableContents"/>
              <w:bidi w:val="0"/>
              <w:spacing w:before="0" w:after="283"/>
              <w:jc w:val="right"/>
              <w:rPr>
                <w:sz w:val="20"/>
              </w:rPr>
            </w:pPr>
            <w:r>
              <w:rPr>
                <w:sz w:val="20"/>
              </w:rPr>
              <w:t>(85,305</w:t>
            </w:r>
          </w:p>
        </w:tc>
        <w:tc>
          <w:tcPr>
            <w:tcW w:w="80" w:type="dxa"/>
            <w:tcBorders/>
            <w:shd w:fill="CCEEFF" w:val="clear"/>
            <w:vAlign w:val="center"/>
          </w:tcPr>
          <w:p>
            <w:pPr>
              <w:pStyle w:val="TableContents"/>
              <w:bidi w:val="0"/>
              <w:spacing w:before="0" w:after="283"/>
              <w:jc w:val="left"/>
              <w:rPr>
                <w:sz w:val="20"/>
              </w:rPr>
            </w:pPr>
            <w:r>
              <w:rPr>
                <w:sz w:val="20"/>
              </w:rPr>
              <w:t>)</w:t>
            </w:r>
          </w:p>
        </w:tc>
        <w:tc>
          <w:tcPr>
            <w:tcW w:w="866" w:type="dxa"/>
            <w:tcBorders/>
            <w:shd w:fill="CCEEFF" w:val="clear"/>
            <w:vAlign w:val="center"/>
          </w:tcPr>
          <w:p>
            <w:pPr>
              <w:pStyle w:val="TableContents"/>
              <w:bidi w:val="0"/>
              <w:spacing w:before="0" w:after="283"/>
              <w:jc w:val="right"/>
              <w:rPr>
                <w:sz w:val="20"/>
              </w:rPr>
            </w:pPr>
            <w:r>
              <w:rPr>
                <w:sz w:val="20"/>
              </w:rPr>
              <w:t>3,859,110</w:t>
            </w:r>
          </w:p>
        </w:tc>
        <w:tc>
          <w:tcPr>
            <w:tcW w:w="8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sz w:val="20"/>
              </w:rPr>
            </w:pPr>
            <w:r>
              <w:rPr>
                <w:sz w:val="20"/>
              </w:rPr>
              <w:t>(1,065,940</w:t>
            </w:r>
          </w:p>
        </w:tc>
        <w:tc>
          <w:tcPr>
            <w:tcW w:w="81" w:type="dxa"/>
            <w:tcBorders/>
            <w:shd w:fill="CCEEFF" w:val="clear"/>
            <w:vAlign w:val="center"/>
          </w:tcPr>
          <w:p>
            <w:pPr>
              <w:pStyle w:val="TableContents"/>
              <w:bidi w:val="0"/>
              <w:spacing w:before="0" w:after="283"/>
              <w:jc w:val="left"/>
              <w:rPr>
                <w:sz w:val="20"/>
              </w:rPr>
            </w:pPr>
            <w:r>
              <w:rPr>
                <w:sz w:val="20"/>
              </w:rPr>
              <w:t>)</w:t>
            </w:r>
          </w:p>
        </w:tc>
        <w:tc>
          <w:tcPr>
            <w:tcW w:w="866" w:type="dxa"/>
            <w:tcBorders/>
            <w:shd w:fill="CCEEFF" w:val="clear"/>
            <w:vAlign w:val="center"/>
          </w:tcPr>
          <w:p>
            <w:pPr>
              <w:pStyle w:val="TableContents"/>
              <w:bidi w:val="0"/>
              <w:spacing w:before="0" w:after="283"/>
              <w:jc w:val="right"/>
              <w:rPr>
                <w:sz w:val="20"/>
              </w:rPr>
            </w:pPr>
            <w:r>
              <w:rPr>
                <w:sz w:val="20"/>
              </w:rPr>
              <w:t>(157,100</w:t>
            </w:r>
          </w:p>
        </w:tc>
        <w:tc>
          <w:tcPr>
            <w:tcW w:w="92" w:type="dxa"/>
            <w:tcBorders/>
            <w:shd w:fill="CCEEFF" w:val="clear"/>
            <w:vAlign w:val="center"/>
          </w:tcPr>
          <w:p>
            <w:pPr>
              <w:pStyle w:val="TableContents"/>
              <w:bidi w:val="0"/>
              <w:spacing w:before="0" w:after="283"/>
              <w:ind w:left="0" w:right="0" w:hanging="174"/>
              <w:jc w:val="left"/>
              <w:rPr>
                <w:sz w:val="20"/>
              </w:rPr>
            </w:pPr>
            <w:r>
              <w:rPr>
                <w:sz w:val="20"/>
              </w:rPr>
              <w:t>)</w:t>
            </w:r>
          </w:p>
        </w:tc>
      </w:tr>
      <w:tr>
        <w:trPr/>
        <w:tc>
          <w:tcPr>
            <w:tcW w:w="4232" w:type="dxa"/>
            <w:tcBorders/>
            <w:shd w:fill="FFFFFF" w:val="clear"/>
            <w:vAlign w:val="center"/>
          </w:tcPr>
          <w:p>
            <w:pPr>
              <w:pStyle w:val="TableContents"/>
              <w:bidi w:val="0"/>
              <w:spacing w:before="0" w:after="283"/>
              <w:jc w:val="left"/>
              <w:rPr>
                <w:b/>
                <w:sz w:val="20"/>
              </w:rPr>
            </w:pPr>
            <w:r>
              <w:rPr>
                <w:b/>
                <w:sz w:val="20"/>
              </w:rPr>
              <w:t>Cash and cash equivalents, restricted cash at the beginning of the period</w:t>
            </w:r>
          </w:p>
        </w:tc>
        <w:tc>
          <w:tcPr>
            <w:tcW w:w="60"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5,133,386</w:t>
            </w:r>
          </w:p>
        </w:tc>
        <w:tc>
          <w:tcPr>
            <w:tcW w:w="86"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7,146,292</w:t>
            </w:r>
          </w:p>
        </w:tc>
        <w:tc>
          <w:tcPr>
            <w:tcW w:w="86"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1,053,233</w:t>
            </w:r>
          </w:p>
        </w:tc>
        <w:tc>
          <w:tcPr>
            <w:tcW w:w="80" w:type="dxa"/>
            <w:tcBorders/>
            <w:shd w:fill="FFFFFF" w:val="clear"/>
            <w:vAlign w:val="center"/>
          </w:tcPr>
          <w:p>
            <w:pPr>
              <w:pStyle w:val="TableContents"/>
              <w:bidi w:val="0"/>
              <w:spacing w:before="0" w:after="283"/>
              <w:jc w:val="left"/>
              <w:rPr/>
            </w:pPr>
            <w:r>
              <w:rPr/>
              <w:t> </w:t>
            </w:r>
          </w:p>
        </w:tc>
        <w:tc>
          <w:tcPr>
            <w:tcW w:w="86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4,768,681</w:t>
            </w:r>
          </w:p>
        </w:tc>
        <w:tc>
          <w:tcPr>
            <w:tcW w:w="81" w:type="dxa"/>
            <w:tcBorders/>
            <w:shd w:fill="FFFFFF" w:val="clear"/>
            <w:vAlign w:val="center"/>
          </w:tcPr>
          <w:p>
            <w:pPr>
              <w:pStyle w:val="TableContents"/>
              <w:bidi w:val="0"/>
              <w:spacing w:before="0" w:after="283"/>
              <w:jc w:val="left"/>
              <w:rPr/>
            </w:pPr>
            <w:r>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7,633,426</w:t>
            </w:r>
          </w:p>
        </w:tc>
        <w:tc>
          <w:tcPr>
            <w:tcW w:w="81" w:type="dxa"/>
            <w:tcBorders/>
            <w:shd w:fill="FFFFFF" w:val="clear"/>
            <w:vAlign w:val="center"/>
          </w:tcPr>
          <w:p>
            <w:pPr>
              <w:pStyle w:val="TableContents"/>
              <w:bidi w:val="0"/>
              <w:spacing w:before="0" w:after="283"/>
              <w:jc w:val="left"/>
              <w:rPr/>
            </w:pPr>
            <w:r>
              <w:rPr/>
              <w:t> </w:t>
            </w:r>
          </w:p>
        </w:tc>
        <w:tc>
          <w:tcPr>
            <w:tcW w:w="86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1,125,028</w:t>
            </w:r>
          </w:p>
        </w:tc>
        <w:tc>
          <w:tcPr>
            <w:tcW w:w="92" w:type="dxa"/>
            <w:tcBorders/>
            <w:shd w:fill="FFFFFF" w:val="clear"/>
            <w:vAlign w:val="center"/>
          </w:tcPr>
          <w:p>
            <w:pPr>
              <w:pStyle w:val="TableContents"/>
              <w:bidi w:val="0"/>
              <w:spacing w:before="0" w:after="283"/>
              <w:ind w:left="0" w:right="0" w:hanging="174"/>
              <w:jc w:val="left"/>
              <w:rPr/>
            </w:pPr>
            <w:r>
              <w:rPr/>
              <w:t> </w:t>
            </w:r>
          </w:p>
        </w:tc>
      </w:tr>
      <w:tr>
        <w:trPr/>
        <w:tc>
          <w:tcPr>
            <w:tcW w:w="4232" w:type="dxa"/>
            <w:tcBorders/>
            <w:shd w:fill="CCEEFF" w:val="clear"/>
            <w:vAlign w:val="center"/>
          </w:tcPr>
          <w:p>
            <w:pPr>
              <w:pStyle w:val="TableContents"/>
              <w:bidi w:val="0"/>
              <w:spacing w:before="0" w:after="283"/>
              <w:jc w:val="left"/>
              <w:rPr>
                <w:b/>
                <w:sz w:val="20"/>
              </w:rPr>
            </w:pPr>
            <w:r>
              <w:rPr>
                <w:b/>
                <w:sz w:val="20"/>
              </w:rPr>
              <w:t>Cash and cash equivalents, restricted cash at the end of the period</w:t>
            </w:r>
          </w:p>
        </w:tc>
        <w:tc>
          <w:tcPr>
            <w:tcW w:w="60" w:type="dxa"/>
            <w:tcBorders/>
            <w:shd w:fill="CCEEFF" w:val="cle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8,627,791</w:t>
            </w:r>
          </w:p>
        </w:tc>
        <w:tc>
          <w:tcPr>
            <w:tcW w:w="86" w:type="dxa"/>
            <w:tcBorders/>
            <w:shd w:fill="CCEEFF" w:val="cle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6,567,486</w:t>
            </w:r>
          </w:p>
        </w:tc>
        <w:tc>
          <w:tcPr>
            <w:tcW w:w="86" w:type="dxa"/>
            <w:tcBorders/>
            <w:shd w:fill="CCEEFF" w:val="cle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967,928</w:t>
            </w:r>
          </w:p>
        </w:tc>
        <w:tc>
          <w:tcPr>
            <w:tcW w:w="80" w:type="dxa"/>
            <w:tcBorders/>
            <w:shd w:fill="CCEEFF" w:val="clear"/>
            <w:vAlign w:val="center"/>
          </w:tcPr>
          <w:p>
            <w:pPr>
              <w:pStyle w:val="TableContents"/>
              <w:bidi w:val="0"/>
              <w:spacing w:before="0" w:after="283"/>
              <w:jc w:val="left"/>
              <w:rPr/>
            </w:pPr>
            <w:r>
              <w:rPr/>
              <w:t> </w:t>
            </w:r>
          </w:p>
        </w:tc>
        <w:tc>
          <w:tcPr>
            <w:tcW w:w="86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8,627,791</w:t>
            </w:r>
          </w:p>
        </w:tc>
        <w:tc>
          <w:tcPr>
            <w:tcW w:w="81" w:type="dxa"/>
            <w:tcBorders/>
            <w:shd w:fill="CCEEFF" w:val="clear"/>
            <w:vAlign w:val="center"/>
          </w:tcPr>
          <w:p>
            <w:pPr>
              <w:pStyle w:val="TableContents"/>
              <w:bidi w:val="0"/>
              <w:spacing w:before="0" w:after="283"/>
              <w:jc w:val="left"/>
              <w:rPr/>
            </w:pPr>
            <w:r>
              <w:rPr/>
              <w:t> </w:t>
            </w:r>
          </w:p>
        </w:tc>
        <w:tc>
          <w:tcPr>
            <w:tcW w:w="927"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6,567,486</w:t>
            </w:r>
          </w:p>
        </w:tc>
        <w:tc>
          <w:tcPr>
            <w:tcW w:w="81" w:type="dxa"/>
            <w:tcBorders/>
            <w:shd w:fill="CCEEFF" w:val="clear"/>
            <w:vAlign w:val="center"/>
          </w:tcPr>
          <w:p>
            <w:pPr>
              <w:pStyle w:val="TableContents"/>
              <w:bidi w:val="0"/>
              <w:spacing w:before="0" w:after="283"/>
              <w:jc w:val="left"/>
              <w:rPr/>
            </w:pPr>
            <w:r>
              <w:rPr/>
              <w:t> </w:t>
            </w:r>
          </w:p>
        </w:tc>
        <w:tc>
          <w:tcPr>
            <w:tcW w:w="86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967,928</w:t>
            </w:r>
          </w:p>
        </w:tc>
        <w:tc>
          <w:tcPr>
            <w:tcW w:w="9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pPr>
      <w:r>
        <w:rPr/>
        <w:drawing>
          <wp:inline distT="0" distB="0" distL="0" distR="0">
            <wp:extent cx="511810" cy="1873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11810" cy="187325"/>
                    </a:xfrm>
                    <a:prstGeom prst="rect">
                      <a:avLst/>
                    </a:prstGeom>
                  </pic:spPr>
                </pic:pic>
              </a:graphicData>
            </a:graphic>
          </wp:inline>
        </w:drawing>
      </w:r>
    </w:p>
    <w:p>
      <w:pPr>
        <w:pStyle w:val="TextBody"/>
        <w:pBdr>
          <w:bottom w:val="single" w:sz="8" w:space="1" w:color="000000"/>
        </w:pBdr>
        <w:bidi w:val="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b/>
          <w:sz w:val="20"/>
        </w:rPr>
        <w:t>CHAGEE HOLDINGS LIMITED</w:t>
      </w:r>
      <w:r>
        <w:rPr/>
        <w:t xml:space="preserve"> </w:t>
      </w:r>
    </w:p>
    <w:p>
      <w:pPr>
        <w:pStyle w:val="TextBody"/>
        <w:bidi w:val="0"/>
        <w:jc w:val="center"/>
        <w:rPr/>
      </w:pPr>
      <w:r>
        <w:rPr>
          <w:b/>
          <w:sz w:val="20"/>
        </w:rPr>
        <w:t>RECONCILIATION OF NON-GAAP MEASURES TO THE MOST DIRECTLY COMPARABLE GAAP MEASURES</w:t>
      </w:r>
      <w:r>
        <w:rPr/>
        <w:t xml:space="preserve"> </w:t>
      </w:r>
    </w:p>
    <w:p>
      <w:pPr>
        <w:pStyle w:val="TextBody"/>
        <w:bidi w:val="0"/>
        <w:jc w:val="center"/>
        <w:rPr>
          <w:b/>
          <w:sz w:val="20"/>
        </w:rPr>
      </w:pPr>
      <w:r>
        <w:rPr>
          <w:b/>
          <w:sz w:val="20"/>
        </w:rPr>
        <w:t>(Unaudited, all amounts in thousands, except for share, per share data or otherwise noted)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499"/>
        <w:gridCol w:w="60"/>
        <w:gridCol w:w="1055"/>
        <w:gridCol w:w="60"/>
        <w:gridCol w:w="1055"/>
        <w:gridCol w:w="60"/>
        <w:gridCol w:w="1055"/>
        <w:gridCol w:w="60"/>
        <w:gridCol w:w="1055"/>
        <w:gridCol w:w="125"/>
        <w:gridCol w:w="1055"/>
        <w:gridCol w:w="60"/>
        <w:gridCol w:w="1006"/>
      </w:tblGrid>
      <w:tr>
        <w:trPr/>
        <w:tc>
          <w:tcPr>
            <w:tcW w:w="349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285"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 June 30,</w:t>
            </w:r>
          </w:p>
        </w:tc>
        <w:tc>
          <w:tcPr>
            <w:tcW w:w="60" w:type="dxa"/>
            <w:tcBorders/>
            <w:vAlign w:val="center"/>
          </w:tcPr>
          <w:p>
            <w:pPr>
              <w:pStyle w:val="TableContents"/>
              <w:bidi w:val="0"/>
              <w:spacing w:before="0" w:after="283"/>
              <w:jc w:val="left"/>
              <w:rPr/>
            </w:pPr>
            <w:r>
              <w:rPr/>
              <w:t> </w:t>
            </w:r>
          </w:p>
        </w:tc>
        <w:tc>
          <w:tcPr>
            <w:tcW w:w="3301" w:type="dxa"/>
            <w:gridSpan w:val="5"/>
            <w:tcBorders>
              <w:bottom w:val="single" w:sz="8" w:space="0" w:color="000000"/>
            </w:tcBorders>
            <w:tcMar>
              <w:bottom w:w="28" w:type="dxa"/>
            </w:tcMar>
            <w:vAlign w:val="center"/>
          </w:tcPr>
          <w:p>
            <w:pPr>
              <w:pStyle w:val="TableContents"/>
              <w:bidi w:val="0"/>
              <w:spacing w:before="0" w:after="283"/>
              <w:ind w:left="0" w:right="0" w:hanging="180"/>
              <w:jc w:val="center"/>
              <w:rPr>
                <w:b/>
                <w:sz w:val="20"/>
              </w:rPr>
            </w:pPr>
            <w:r>
              <w:rPr>
                <w:b/>
                <w:sz w:val="20"/>
              </w:rPr>
              <w:t>For the six months ended June 30,</w:t>
            </w:r>
          </w:p>
        </w:tc>
      </w:tr>
      <w:tr>
        <w:trPr/>
        <w:tc>
          <w:tcPr>
            <w:tcW w:w="3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217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25" w:type="dxa"/>
            <w:tcBorders/>
            <w:vAlign w:val="center"/>
          </w:tcPr>
          <w:p>
            <w:pPr>
              <w:pStyle w:val="TableContents"/>
              <w:bidi w:val="0"/>
              <w:spacing w:before="0" w:after="283"/>
              <w:jc w:val="left"/>
              <w:rPr/>
            </w:pPr>
            <w:r>
              <w:rPr/>
              <w:t> </w:t>
            </w:r>
          </w:p>
        </w:tc>
        <w:tc>
          <w:tcPr>
            <w:tcW w:w="2121" w:type="dxa"/>
            <w:gridSpan w:val="3"/>
            <w:tcBorders>
              <w:bottom w:val="single" w:sz="8" w:space="0" w:color="000000"/>
            </w:tcBorders>
            <w:tcMar>
              <w:bottom w:w="28" w:type="dxa"/>
            </w:tcMar>
            <w:vAlign w:val="center"/>
          </w:tcPr>
          <w:p>
            <w:pPr>
              <w:pStyle w:val="TableContents"/>
              <w:bidi w:val="0"/>
              <w:spacing w:before="0" w:after="283"/>
              <w:ind w:left="0" w:right="0" w:hanging="180"/>
              <w:jc w:val="center"/>
              <w:rPr>
                <w:b/>
                <w:sz w:val="20"/>
              </w:rPr>
            </w:pPr>
            <w:r>
              <w:rPr>
                <w:b/>
                <w:sz w:val="20"/>
              </w:rPr>
              <w:t>2026</w:t>
            </w:r>
          </w:p>
        </w:tc>
      </w:tr>
      <w:tr>
        <w:trPr/>
        <w:tc>
          <w:tcPr>
            <w:tcW w:w="3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sz w:val="20"/>
              </w:rPr>
            </w:pPr>
            <w:r>
              <w:rPr>
                <w:b/>
                <w:sz w:val="20"/>
              </w:rPr>
              <w:t>US$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sz w:val="20"/>
              </w:rPr>
            </w:pPr>
            <w:r>
              <w:rPr>
                <w:b/>
                <w:sz w:val="20"/>
              </w:rPr>
              <w:t>RMB</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ind w:left="0" w:right="0" w:hanging="180"/>
              <w:jc w:val="center"/>
              <w:rPr>
                <w:b/>
                <w:sz w:val="20"/>
              </w:rPr>
            </w:pPr>
            <w:r>
              <w:rPr>
                <w:b/>
                <w:sz w:val="20"/>
              </w:rPr>
              <w:t>US$</w:t>
            </w:r>
          </w:p>
        </w:tc>
      </w:tr>
      <w:tr>
        <w:trPr/>
        <w:tc>
          <w:tcPr>
            <w:tcW w:w="3499" w:type="dxa"/>
            <w:tcBorders/>
            <w:shd w:fill="CCEEFF" w:val="clear"/>
            <w:vAlign w:val="center"/>
          </w:tcPr>
          <w:p>
            <w:pPr>
              <w:pStyle w:val="TableContents"/>
              <w:bidi w:val="0"/>
              <w:spacing w:before="0" w:after="283"/>
              <w:jc w:val="left"/>
              <w:rPr>
                <w:b/>
                <w:sz w:val="20"/>
              </w:rPr>
            </w:pPr>
            <w:r>
              <w:rPr>
                <w:b/>
                <w:sz w:val="20"/>
              </w:rPr>
              <w:t>A. Non-GAAP net income</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ind w:left="0" w:right="0" w:hanging="180"/>
              <w:jc w:val="right"/>
              <w:rPr/>
            </w:pPr>
            <w:r>
              <w:rPr/>
              <w:t> </w:t>
            </w:r>
          </w:p>
        </w:tc>
      </w:tr>
      <w:tr>
        <w:trPr/>
        <w:tc>
          <w:tcPr>
            <w:tcW w:w="3499" w:type="dxa"/>
            <w:tcBorders/>
            <w:shd w:fill="FFFFFF" w:val="clear"/>
            <w:vAlign w:val="center"/>
          </w:tcPr>
          <w:p>
            <w:pPr>
              <w:pStyle w:val="TableContents"/>
              <w:bidi w:val="0"/>
              <w:spacing w:before="0" w:after="283"/>
              <w:jc w:val="left"/>
              <w:rPr>
                <w:sz w:val="20"/>
              </w:rPr>
            </w:pPr>
            <w:r>
              <w:rPr>
                <w:sz w:val="20"/>
              </w:rPr>
              <w:t>Net income</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77,238</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464,769</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68,499</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754,555</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912,441</w:t>
            </w:r>
          </w:p>
        </w:tc>
        <w:tc>
          <w:tcPr>
            <w:tcW w:w="60"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ind w:left="0" w:right="0" w:hanging="180"/>
              <w:jc w:val="right"/>
              <w:rPr>
                <w:b/>
                <w:sz w:val="20"/>
              </w:rPr>
            </w:pPr>
            <w:r>
              <w:rPr>
                <w:b/>
                <w:sz w:val="20"/>
              </w:rPr>
              <w:t>134,478</w:t>
            </w:r>
          </w:p>
        </w:tc>
      </w:tr>
      <w:tr>
        <w:trPr/>
        <w:tc>
          <w:tcPr>
            <w:tcW w:w="3499" w:type="dxa"/>
            <w:tcBorders/>
            <w:shd w:fill="CCEEFF" w:val="clear"/>
            <w:vAlign w:val="center"/>
          </w:tcPr>
          <w:p>
            <w:pPr>
              <w:pStyle w:val="TableContents"/>
              <w:bidi w:val="0"/>
              <w:spacing w:before="0" w:after="283"/>
              <w:jc w:val="left"/>
              <w:rPr>
                <w:sz w:val="20"/>
              </w:rPr>
            </w:pPr>
            <w:r>
              <w:rPr>
                <w:sz w:val="20"/>
              </w:rPr>
              <w:t>Net income margin</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2.3%</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13.6%</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13.6%</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11.2%</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13.1%</w:t>
            </w:r>
          </w:p>
        </w:tc>
        <w:tc>
          <w:tcPr>
            <w:tcW w:w="6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ind w:left="0" w:right="0" w:hanging="180"/>
              <w:jc w:val="right"/>
              <w:rPr>
                <w:sz w:val="20"/>
              </w:rPr>
            </w:pPr>
            <w:r>
              <w:rPr>
                <w:sz w:val="20"/>
              </w:rPr>
              <w:t>13.1%</w:t>
            </w:r>
          </w:p>
        </w:tc>
      </w:tr>
      <w:tr>
        <w:trPr/>
        <w:tc>
          <w:tcPr>
            <w:tcW w:w="3499" w:type="dxa"/>
            <w:tcBorders/>
            <w:shd w:fill="FFFFFF" w:val="clear"/>
            <w:vAlign w:val="center"/>
          </w:tcPr>
          <w:p>
            <w:pPr>
              <w:pStyle w:val="TableContents"/>
              <w:bidi w:val="0"/>
              <w:spacing w:before="0" w:after="283"/>
              <w:jc w:val="left"/>
              <w:rPr>
                <w:sz w:val="20"/>
              </w:rPr>
            </w:pPr>
            <w:r>
              <w:rPr>
                <w:sz w:val="20"/>
              </w:rPr>
              <w:t>Adjusted for: Share-based compensation expenses</w:t>
            </w:r>
            <w:r>
              <w:rPr>
                <w:position w:val="7"/>
                <w:sz w:val="16"/>
                <w:sz w:val="20"/>
              </w:rPr>
              <w:t>#</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552,529</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23,905</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3,523</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552,529</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82,921</w:t>
            </w:r>
          </w:p>
        </w:tc>
        <w:tc>
          <w:tcPr>
            <w:tcW w:w="60"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ind w:left="0" w:right="0" w:hanging="180"/>
              <w:jc w:val="right"/>
              <w:rPr>
                <w:sz w:val="20"/>
              </w:rPr>
            </w:pPr>
            <w:r>
              <w:rPr>
                <w:sz w:val="20"/>
              </w:rPr>
              <w:t>12,221</w:t>
            </w:r>
          </w:p>
        </w:tc>
      </w:tr>
      <w:tr>
        <w:trPr/>
        <w:tc>
          <w:tcPr>
            <w:tcW w:w="3499" w:type="dxa"/>
            <w:tcBorders/>
            <w:shd w:fill="CCEEFF" w:val="clear"/>
            <w:vAlign w:val="center"/>
          </w:tcPr>
          <w:p>
            <w:pPr>
              <w:pStyle w:val="TableContents"/>
              <w:bidi w:val="0"/>
              <w:spacing w:before="0" w:after="283"/>
              <w:jc w:val="left"/>
              <w:rPr>
                <w:sz w:val="20"/>
              </w:rPr>
            </w:pPr>
            <w:r>
              <w:rPr>
                <w:sz w:val="20"/>
              </w:rPr>
              <w:t>Share-based compensation expenses over net revenue ratio</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16.6%</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0.7%</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0.7%</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8.2%</w:t>
            </w:r>
          </w:p>
        </w:tc>
        <w:tc>
          <w:tcPr>
            <w:tcW w:w="125"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w:t>
            </w:r>
          </w:p>
        </w:tc>
        <w:tc>
          <w:tcPr>
            <w:tcW w:w="60" w:type="dxa"/>
            <w:tcBorders/>
            <w:shd w:fill="CCEEFF" w:val="clear"/>
            <w:vAlign w:val="center"/>
          </w:tcPr>
          <w:p>
            <w:pPr>
              <w:pStyle w:val="TableContents"/>
              <w:bidi w:val="0"/>
              <w:spacing w:before="0" w:after="283"/>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ind w:left="0" w:right="0" w:hanging="180"/>
              <w:jc w:val="right"/>
              <w:rPr>
                <w:sz w:val="20"/>
              </w:rPr>
            </w:pPr>
            <w:r>
              <w:rPr>
                <w:sz w:val="20"/>
              </w:rPr>
              <w:t>1.2%</w:t>
            </w:r>
          </w:p>
        </w:tc>
      </w:tr>
      <w:tr>
        <w:trPr/>
        <w:tc>
          <w:tcPr>
            <w:tcW w:w="3499" w:type="dxa"/>
            <w:tcBorders/>
            <w:shd w:fill="FFFFFF" w:val="clear"/>
            <w:vAlign w:val="center"/>
          </w:tcPr>
          <w:p>
            <w:pPr>
              <w:pStyle w:val="TableContents"/>
              <w:bidi w:val="0"/>
              <w:spacing w:before="0" w:after="283"/>
              <w:jc w:val="left"/>
              <w:rPr>
                <w:b/>
                <w:sz w:val="20"/>
              </w:rPr>
            </w:pPr>
            <w:r>
              <w:rPr>
                <w:b/>
                <w:sz w:val="20"/>
              </w:rPr>
              <w:t>Non-GAAP net income</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629,767</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488,674</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72,022</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1,307,084</w:t>
            </w:r>
          </w:p>
        </w:tc>
        <w:tc>
          <w:tcPr>
            <w:tcW w:w="125"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995,362</w:t>
            </w:r>
          </w:p>
        </w:tc>
        <w:tc>
          <w:tcPr>
            <w:tcW w:w="60" w:type="dxa"/>
            <w:tcBorders/>
            <w:shd w:fill="FFFFFF" w:val="clear"/>
            <w:vAlign w:val="center"/>
          </w:tcPr>
          <w:p>
            <w:pPr>
              <w:pStyle w:val="TableContents"/>
              <w:bidi w:val="0"/>
              <w:spacing w:before="0" w:after="283"/>
              <w:jc w:val="left"/>
              <w:rPr/>
            </w:pPr>
            <w:r>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ind w:left="0" w:right="0" w:hanging="180"/>
              <w:jc w:val="right"/>
              <w:rPr>
                <w:b/>
                <w:sz w:val="20"/>
              </w:rPr>
            </w:pPr>
            <w:r>
              <w:rPr>
                <w:b/>
                <w:sz w:val="20"/>
              </w:rPr>
              <w:t>146,699</w:t>
            </w:r>
          </w:p>
        </w:tc>
      </w:tr>
      <w:tr>
        <w:trPr/>
        <w:tc>
          <w:tcPr>
            <w:tcW w:w="3499" w:type="dxa"/>
            <w:tcBorders/>
            <w:shd w:fill="CCEEFF" w:val="clear"/>
            <w:vAlign w:val="center"/>
          </w:tcPr>
          <w:p>
            <w:pPr>
              <w:pStyle w:val="TableContents"/>
              <w:bidi w:val="0"/>
              <w:spacing w:before="0" w:after="283"/>
              <w:jc w:val="left"/>
              <w:rPr>
                <w:sz w:val="20"/>
              </w:rPr>
            </w:pPr>
            <w:r>
              <w:rPr>
                <w:sz w:val="20"/>
              </w:rPr>
              <w:t>Non-GAAP net income margin</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18.9%</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14.3%</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14.3%</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19.4%</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14.3%</w:t>
            </w:r>
          </w:p>
        </w:tc>
        <w:tc>
          <w:tcPr>
            <w:tcW w:w="6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ind w:left="0" w:right="0" w:hanging="180"/>
              <w:jc w:val="right"/>
              <w:rPr>
                <w:sz w:val="20"/>
              </w:rPr>
            </w:pPr>
            <w:r>
              <w:rPr>
                <w:sz w:val="20"/>
              </w:rPr>
              <w:t>14.3%</w:t>
            </w:r>
          </w:p>
        </w:tc>
      </w:tr>
      <w:tr>
        <w:trPr/>
        <w:tc>
          <w:tcPr>
            <w:tcW w:w="3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r>
      <w:tr>
        <w:trPr/>
        <w:tc>
          <w:tcPr>
            <w:tcW w:w="10205" w:type="dxa"/>
            <w:gridSpan w:val="13"/>
            <w:tcBorders/>
            <w:shd w:fill="CCEEFF" w:val="clear"/>
            <w:vAlign w:val="center"/>
          </w:tcPr>
          <w:p>
            <w:pPr>
              <w:pStyle w:val="TableContents"/>
              <w:bidi w:val="0"/>
              <w:spacing w:before="0" w:after="283"/>
              <w:jc w:val="left"/>
              <w:rPr>
                <w:b/>
                <w:sz w:val="20"/>
              </w:rPr>
            </w:pPr>
            <w:r>
              <w:rPr>
                <w:b/>
                <w:sz w:val="20"/>
              </w:rPr>
              <w:t>B.  Non-GAAP net income per ordinary share</w:t>
            </w:r>
          </w:p>
        </w:tc>
      </w:tr>
      <w:tr>
        <w:trPr/>
        <w:tc>
          <w:tcPr>
            <w:tcW w:w="10205" w:type="dxa"/>
            <w:gridSpan w:val="13"/>
            <w:tcBorders/>
            <w:shd w:fill="FFFFFF" w:val="clear"/>
            <w:vAlign w:val="center"/>
          </w:tcPr>
          <w:p>
            <w:pPr>
              <w:pStyle w:val="TableContents"/>
              <w:bidi w:val="0"/>
              <w:spacing w:before="0" w:after="283"/>
              <w:ind w:left="0" w:right="0" w:hanging="180"/>
              <w:jc w:val="left"/>
              <w:rPr>
                <w:sz w:val="20"/>
              </w:rPr>
            </w:pPr>
            <w:r>
              <w:rPr>
                <w:sz w:val="20"/>
              </w:rPr>
              <w:t>Weighted average number of ordinary shares used in computing net income per share, basic and diluted:</w:t>
            </w:r>
          </w:p>
        </w:tc>
      </w:tr>
      <w:tr>
        <w:trPr/>
        <w:tc>
          <w:tcPr>
            <w:tcW w:w="3499" w:type="dxa"/>
            <w:tcBorders/>
            <w:shd w:fill="CCEEFF" w:val="clear"/>
            <w:vAlign w:val="center"/>
          </w:tcPr>
          <w:p>
            <w:pPr>
              <w:pStyle w:val="TableContents"/>
              <w:bidi w:val="0"/>
              <w:spacing w:before="0" w:after="283"/>
              <w:jc w:val="left"/>
              <w:rPr>
                <w:sz w:val="20"/>
              </w:rPr>
            </w:pPr>
            <w:r>
              <w:rPr>
                <w:sz w:val="20"/>
              </w:rPr>
              <w:t>- Basic</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168,594,146</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191,363,658</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191,363,658</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133,861,975</w:t>
            </w:r>
          </w:p>
        </w:tc>
        <w:tc>
          <w:tcPr>
            <w:tcW w:w="125"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191,232,930</w:t>
            </w:r>
          </w:p>
        </w:tc>
        <w:tc>
          <w:tcPr>
            <w:tcW w:w="60" w:type="dxa"/>
            <w:tcBorders/>
            <w:shd w:fill="CCEEFF" w:val="clear"/>
            <w:vAlign w:val="center"/>
          </w:tcPr>
          <w:p>
            <w:pPr>
              <w:pStyle w:val="TableContents"/>
              <w:bidi w:val="0"/>
              <w:spacing w:before="0" w:after="283"/>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ind w:left="0" w:right="0" w:hanging="180"/>
              <w:jc w:val="right"/>
              <w:rPr>
                <w:sz w:val="20"/>
              </w:rPr>
            </w:pPr>
            <w:r>
              <w:rPr>
                <w:sz w:val="20"/>
              </w:rPr>
              <w:t>191,232,930</w:t>
            </w:r>
          </w:p>
        </w:tc>
      </w:tr>
      <w:tr>
        <w:trPr/>
        <w:tc>
          <w:tcPr>
            <w:tcW w:w="3499" w:type="dxa"/>
            <w:tcBorders/>
            <w:shd w:fill="FFFFFF" w:val="clear"/>
            <w:vAlign w:val="center"/>
          </w:tcPr>
          <w:p>
            <w:pPr>
              <w:pStyle w:val="TableContents"/>
              <w:bidi w:val="0"/>
              <w:spacing w:before="0" w:after="283"/>
              <w:jc w:val="left"/>
              <w:rPr>
                <w:sz w:val="20"/>
              </w:rPr>
            </w:pPr>
            <w:r>
              <w:rPr>
                <w:sz w:val="20"/>
              </w:rPr>
              <w:t>- Diluted</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171,130,715</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193,037,349</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193,037,349</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135,130,260</w:t>
            </w:r>
          </w:p>
        </w:tc>
        <w:tc>
          <w:tcPr>
            <w:tcW w:w="125" w:type="dxa"/>
            <w:tcBorders/>
            <w:shd w:fill="FFFFFF" w:val="clear"/>
            <w:vAlign w:val="center"/>
          </w:tcPr>
          <w:p>
            <w:pPr>
              <w:pStyle w:val="TableContents"/>
              <w:bidi w:val="0"/>
              <w:spacing w:before="0" w:after="283"/>
              <w:jc w:val="left"/>
              <w:rPr>
                <w:sz w:val="20"/>
              </w:rPr>
            </w:pPr>
            <w:r>
              <w:rPr>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192,600,225</w:t>
            </w:r>
          </w:p>
        </w:tc>
        <w:tc>
          <w:tcPr>
            <w:tcW w:w="60" w:type="dxa"/>
            <w:tcBorders/>
            <w:shd w:fill="FFFFFF" w:val="clear"/>
            <w:vAlign w:val="center"/>
          </w:tcPr>
          <w:p>
            <w:pPr>
              <w:pStyle w:val="TableContents"/>
              <w:bidi w:val="0"/>
              <w:spacing w:before="0" w:after="283"/>
              <w:jc w:val="left"/>
              <w:rPr/>
            </w:pPr>
            <w:r>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ind w:left="0" w:right="0" w:hanging="180"/>
              <w:jc w:val="right"/>
              <w:rPr>
                <w:sz w:val="20"/>
              </w:rPr>
            </w:pPr>
            <w:r>
              <w:rPr>
                <w:sz w:val="20"/>
              </w:rPr>
              <w:t>192,600,225</w:t>
            </w:r>
          </w:p>
        </w:tc>
      </w:tr>
      <w:tr>
        <w:trPr/>
        <w:tc>
          <w:tcPr>
            <w:tcW w:w="34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ind w:left="0" w:right="0" w:hanging="180"/>
              <w:jc w:val="right"/>
              <w:rPr/>
            </w:pPr>
            <w:r>
              <w:rPr/>
              <w:t> </w:t>
            </w:r>
          </w:p>
        </w:tc>
      </w:tr>
      <w:tr>
        <w:trPr/>
        <w:tc>
          <w:tcPr>
            <w:tcW w:w="3499" w:type="dxa"/>
            <w:tcBorders/>
            <w:shd w:fill="FFFFFF" w:val="clear"/>
            <w:vAlign w:val="center"/>
          </w:tcPr>
          <w:p>
            <w:pPr>
              <w:pStyle w:val="TableContents"/>
              <w:bidi w:val="0"/>
              <w:spacing w:before="0" w:after="283"/>
              <w:jc w:val="left"/>
              <w:rPr>
                <w:b/>
                <w:sz w:val="20"/>
              </w:rPr>
            </w:pPr>
            <w:r>
              <w:rPr>
                <w:b/>
                <w:sz w:val="20"/>
              </w:rPr>
              <w:t>Net income per ordinary share</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ind w:left="0" w:right="0" w:hanging="180"/>
              <w:jc w:val="right"/>
              <w:rPr/>
            </w:pPr>
            <w:r>
              <w:rPr/>
              <w:t> </w:t>
            </w:r>
          </w:p>
        </w:tc>
      </w:tr>
      <w:tr>
        <w:trPr/>
        <w:tc>
          <w:tcPr>
            <w:tcW w:w="3499" w:type="dxa"/>
            <w:tcBorders/>
            <w:shd w:fill="CCEEFF" w:val="clear"/>
            <w:vAlign w:val="center"/>
          </w:tcPr>
          <w:p>
            <w:pPr>
              <w:pStyle w:val="TableContents"/>
              <w:bidi w:val="0"/>
              <w:spacing w:before="0" w:after="283"/>
              <w:jc w:val="left"/>
              <w:rPr>
                <w:sz w:val="20"/>
              </w:rPr>
            </w:pPr>
            <w:r>
              <w:rPr>
                <w:sz w:val="20"/>
              </w:rPr>
              <w:t>- Basic</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0.36</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2.44</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0.36</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4.12</w:t>
            </w:r>
          </w:p>
        </w:tc>
        <w:tc>
          <w:tcPr>
            <w:tcW w:w="125"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4.80</w:t>
            </w:r>
          </w:p>
        </w:tc>
        <w:tc>
          <w:tcPr>
            <w:tcW w:w="60" w:type="dxa"/>
            <w:tcBorders/>
            <w:shd w:fill="CCEEFF" w:val="clear"/>
            <w:vAlign w:val="center"/>
          </w:tcPr>
          <w:p>
            <w:pPr>
              <w:pStyle w:val="TableContents"/>
              <w:bidi w:val="0"/>
              <w:spacing w:before="0" w:after="283"/>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ind w:left="0" w:right="0" w:hanging="180"/>
              <w:jc w:val="right"/>
              <w:rPr>
                <w:sz w:val="20"/>
              </w:rPr>
            </w:pPr>
            <w:r>
              <w:rPr>
                <w:sz w:val="20"/>
              </w:rPr>
              <w:t>0.71</w:t>
            </w:r>
          </w:p>
        </w:tc>
      </w:tr>
      <w:tr>
        <w:trPr/>
        <w:tc>
          <w:tcPr>
            <w:tcW w:w="3499" w:type="dxa"/>
            <w:tcBorders/>
            <w:shd w:fill="FFFFFF" w:val="clear"/>
            <w:vAlign w:val="center"/>
          </w:tcPr>
          <w:p>
            <w:pPr>
              <w:pStyle w:val="TableContents"/>
              <w:bidi w:val="0"/>
              <w:spacing w:before="0" w:after="283"/>
              <w:jc w:val="left"/>
              <w:rPr>
                <w:sz w:val="20"/>
              </w:rPr>
            </w:pPr>
            <w:r>
              <w:rPr>
                <w:sz w:val="20"/>
              </w:rPr>
              <w:t>- Diluted</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0.35</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2.42</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0.36</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4.08</w:t>
            </w:r>
          </w:p>
        </w:tc>
        <w:tc>
          <w:tcPr>
            <w:tcW w:w="125" w:type="dxa"/>
            <w:tcBorders/>
            <w:shd w:fill="FFFFFF" w:val="clear"/>
            <w:vAlign w:val="center"/>
          </w:tcPr>
          <w:p>
            <w:pPr>
              <w:pStyle w:val="TableContents"/>
              <w:bidi w:val="0"/>
              <w:spacing w:before="0" w:after="283"/>
              <w:jc w:val="left"/>
              <w:rPr>
                <w:sz w:val="20"/>
              </w:rPr>
            </w:pPr>
            <w:r>
              <w:rPr>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4.76</w:t>
            </w:r>
          </w:p>
        </w:tc>
        <w:tc>
          <w:tcPr>
            <w:tcW w:w="60" w:type="dxa"/>
            <w:tcBorders/>
            <w:shd w:fill="FFFFFF" w:val="clear"/>
            <w:vAlign w:val="center"/>
          </w:tcPr>
          <w:p>
            <w:pPr>
              <w:pStyle w:val="TableContents"/>
              <w:bidi w:val="0"/>
              <w:spacing w:before="0" w:after="283"/>
              <w:jc w:val="left"/>
              <w:rPr/>
            </w:pPr>
            <w:r>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0.70</w:t>
            </w:r>
          </w:p>
        </w:tc>
      </w:tr>
      <w:tr>
        <w:trPr/>
        <w:tc>
          <w:tcPr>
            <w:tcW w:w="10205" w:type="dxa"/>
            <w:gridSpan w:val="13"/>
            <w:tcBorders/>
            <w:shd w:fill="CCEEFF" w:val="clear"/>
            <w:vAlign w:val="center"/>
          </w:tcPr>
          <w:p>
            <w:pPr>
              <w:pStyle w:val="TableContents"/>
              <w:bidi w:val="0"/>
              <w:spacing w:before="0" w:after="283"/>
              <w:ind w:left="0" w:right="0" w:hanging="180"/>
              <w:jc w:val="left"/>
              <w:rPr>
                <w:sz w:val="20"/>
              </w:rPr>
            </w:pPr>
            <w:r>
              <w:rPr>
                <w:sz w:val="20"/>
              </w:rPr>
              <w:t>Adjusted for: Share-based compensation expenses per ordinary share</w:t>
            </w:r>
          </w:p>
        </w:tc>
      </w:tr>
      <w:tr>
        <w:trPr/>
        <w:tc>
          <w:tcPr>
            <w:tcW w:w="3499" w:type="dxa"/>
            <w:tcBorders/>
            <w:shd w:fill="FFFFFF" w:val="clear"/>
            <w:vAlign w:val="center"/>
          </w:tcPr>
          <w:p>
            <w:pPr>
              <w:pStyle w:val="TableContents"/>
              <w:bidi w:val="0"/>
              <w:spacing w:before="0" w:after="283"/>
              <w:jc w:val="left"/>
              <w:rPr>
                <w:sz w:val="20"/>
              </w:rPr>
            </w:pPr>
            <w:r>
              <w:rPr>
                <w:sz w:val="20"/>
              </w:rPr>
              <w:t>- Basic</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2.99</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0.13</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0.02</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3.12</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0.43</w:t>
            </w:r>
          </w:p>
        </w:tc>
        <w:tc>
          <w:tcPr>
            <w:tcW w:w="60"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ind w:left="0" w:right="0" w:hanging="180"/>
              <w:jc w:val="right"/>
              <w:rPr>
                <w:sz w:val="20"/>
              </w:rPr>
            </w:pPr>
            <w:r>
              <w:rPr>
                <w:sz w:val="20"/>
              </w:rPr>
              <w:t>0.06</w:t>
            </w:r>
          </w:p>
        </w:tc>
      </w:tr>
      <w:tr>
        <w:trPr/>
        <w:tc>
          <w:tcPr>
            <w:tcW w:w="3499" w:type="dxa"/>
            <w:tcBorders/>
            <w:shd w:fill="CCEEFF" w:val="clear"/>
            <w:vAlign w:val="center"/>
          </w:tcPr>
          <w:p>
            <w:pPr>
              <w:pStyle w:val="TableContents"/>
              <w:bidi w:val="0"/>
              <w:spacing w:before="0" w:after="283"/>
              <w:jc w:val="left"/>
              <w:rPr>
                <w:sz w:val="20"/>
              </w:rPr>
            </w:pPr>
            <w:r>
              <w:rPr>
                <w:sz w:val="20"/>
              </w:rPr>
              <w:t>- Diluted</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2.95</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0.12</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0.01</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3.09</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0.43</w:t>
            </w:r>
          </w:p>
        </w:tc>
        <w:tc>
          <w:tcPr>
            <w:tcW w:w="6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sz w:val="20"/>
              </w:rPr>
            </w:pPr>
            <w:r>
              <w:rPr>
                <w:sz w:val="20"/>
              </w:rPr>
              <w:t>0.06</w:t>
            </w:r>
          </w:p>
        </w:tc>
      </w:tr>
      <w:tr>
        <w:trPr/>
        <w:tc>
          <w:tcPr>
            <w:tcW w:w="10205" w:type="dxa"/>
            <w:gridSpan w:val="13"/>
            <w:tcBorders/>
            <w:shd w:fill="FFFFFF" w:val="clear"/>
            <w:vAlign w:val="center"/>
          </w:tcPr>
          <w:p>
            <w:pPr>
              <w:pStyle w:val="TableContents"/>
              <w:bidi w:val="0"/>
              <w:spacing w:before="0" w:after="283"/>
              <w:ind w:left="0" w:right="0" w:hanging="180"/>
              <w:jc w:val="left"/>
              <w:rPr>
                <w:b/>
                <w:sz w:val="20"/>
              </w:rPr>
            </w:pPr>
            <w:r>
              <w:rPr>
                <w:b/>
                <w:sz w:val="20"/>
              </w:rPr>
              <w:t>Non-GAAP net income per ordinary share:</w:t>
            </w:r>
          </w:p>
        </w:tc>
      </w:tr>
      <w:tr>
        <w:trPr/>
        <w:tc>
          <w:tcPr>
            <w:tcW w:w="3499" w:type="dxa"/>
            <w:tcBorders/>
            <w:shd w:fill="CCEEFF" w:val="clear"/>
            <w:vAlign w:val="center"/>
          </w:tcPr>
          <w:p>
            <w:pPr>
              <w:pStyle w:val="TableContents"/>
              <w:bidi w:val="0"/>
              <w:spacing w:before="0" w:after="283"/>
              <w:jc w:val="left"/>
              <w:rPr>
                <w:sz w:val="20"/>
              </w:rPr>
            </w:pPr>
            <w:r>
              <w:rPr>
                <w:sz w:val="20"/>
              </w:rPr>
              <w:t>- Basic</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3.35</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2.57</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0.38</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7.24</w:t>
            </w:r>
          </w:p>
        </w:tc>
        <w:tc>
          <w:tcPr>
            <w:tcW w:w="125"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5.23</w:t>
            </w:r>
          </w:p>
        </w:tc>
        <w:tc>
          <w:tcPr>
            <w:tcW w:w="60" w:type="dxa"/>
            <w:tcBorders/>
            <w:shd w:fill="CCEEFF" w:val="clear"/>
            <w:vAlign w:val="center"/>
          </w:tcPr>
          <w:p>
            <w:pPr>
              <w:pStyle w:val="TableContents"/>
              <w:bidi w:val="0"/>
              <w:spacing w:before="0" w:after="283"/>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ind w:left="0" w:right="0" w:hanging="180"/>
              <w:jc w:val="right"/>
              <w:rPr>
                <w:sz w:val="20"/>
              </w:rPr>
            </w:pPr>
            <w:r>
              <w:rPr>
                <w:sz w:val="20"/>
              </w:rPr>
              <w:t>0.77</w:t>
            </w:r>
          </w:p>
        </w:tc>
      </w:tr>
      <w:tr>
        <w:trPr/>
        <w:tc>
          <w:tcPr>
            <w:tcW w:w="3499" w:type="dxa"/>
            <w:tcBorders/>
            <w:shd w:fill="FFFFFF" w:val="clear"/>
            <w:vAlign w:val="center"/>
          </w:tcPr>
          <w:p>
            <w:pPr>
              <w:pStyle w:val="TableContents"/>
              <w:bidi w:val="0"/>
              <w:spacing w:before="0" w:after="283"/>
              <w:jc w:val="left"/>
              <w:rPr>
                <w:sz w:val="20"/>
              </w:rPr>
            </w:pPr>
            <w:r>
              <w:rPr>
                <w:sz w:val="20"/>
              </w:rPr>
              <w:t>- Diluted</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3.30</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2.54</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0.37</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7.17</w:t>
            </w:r>
          </w:p>
        </w:tc>
        <w:tc>
          <w:tcPr>
            <w:tcW w:w="125" w:type="dxa"/>
            <w:tcBorders/>
            <w:shd w:fill="FFFFFF" w:val="clear"/>
            <w:vAlign w:val="center"/>
          </w:tcPr>
          <w:p>
            <w:pPr>
              <w:pStyle w:val="TableContents"/>
              <w:bidi w:val="0"/>
              <w:spacing w:before="0" w:after="283"/>
              <w:jc w:val="left"/>
              <w:rPr>
                <w:sz w:val="20"/>
              </w:rPr>
            </w:pPr>
            <w:r>
              <w:rPr>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5.19</w:t>
            </w:r>
          </w:p>
        </w:tc>
        <w:tc>
          <w:tcPr>
            <w:tcW w:w="60" w:type="dxa"/>
            <w:tcBorders/>
            <w:shd w:fill="FFFFFF" w:val="clear"/>
            <w:vAlign w:val="center"/>
          </w:tcPr>
          <w:p>
            <w:pPr>
              <w:pStyle w:val="TableContents"/>
              <w:bidi w:val="0"/>
              <w:spacing w:before="0" w:after="283"/>
              <w:jc w:val="left"/>
              <w:rPr/>
            </w:pPr>
            <w:r>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0.76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w:t>
            </w:r>
          </w:p>
        </w:tc>
        <w:tc>
          <w:tcPr>
            <w:tcW w:w="10042" w:type="dxa"/>
            <w:tcBorders/>
            <w:vAlign w:val="center"/>
          </w:tcPr>
          <w:p>
            <w:pPr>
              <w:pStyle w:val="TableContents"/>
              <w:bidi w:val="0"/>
              <w:spacing w:before="0" w:after="283"/>
              <w:jc w:val="both"/>
              <w:rPr>
                <w:sz w:val="20"/>
              </w:rPr>
            </w:pPr>
            <w:r>
              <w:rPr>
                <w:sz w:val="20"/>
              </w:rPr>
              <w:t>In preparing this unaudited condensed consolidated financial statements on Form 6-K, the Company identified a calculation error in the weighted-average number of ordinary shares used in computing diluted net income per share and corresponding diluted net income per ordinary share (“Diluted EPS”) as well as non-GAAP Diluted EPS for the six months ended June 30, 2025, as presented in the previously furnished Form 6-K for Second Quarter 2025. The error was limited solely to the computation of the cumulative six-month weighted-average number of ordinary shares used in computing Diluted EPS, and did not impact Diluted EPS for any individual three-month periods or any other reported amounts.</w:t>
            </w:r>
          </w:p>
        </w:tc>
      </w:tr>
    </w:tbl>
    <w:p>
      <w:pPr>
        <w:pStyle w:val="TextBody"/>
        <w:bidi w:val="0"/>
        <w:spacing w:before="0" w:after="0"/>
        <w:ind w:left="0" w:right="0" w:hanging="0"/>
        <w:jc w:val="left"/>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11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osition w:val="7"/>
                <w:sz w:val="16"/>
                <w:sz w:val="20"/>
              </w:rPr>
            </w:pPr>
            <w:r>
              <w:rPr>
                <w:position w:val="7"/>
                <w:sz w:val="16"/>
                <w:sz w:val="20"/>
              </w:rPr>
              <w:t>#</w:t>
            </w:r>
          </w:p>
        </w:tc>
        <w:tc>
          <w:tcPr>
            <w:tcW w:w="9215" w:type="dxa"/>
            <w:tcBorders/>
            <w:vAlign w:val="center"/>
          </w:tcPr>
          <w:p>
            <w:pPr>
              <w:pStyle w:val="TableContents"/>
              <w:bidi w:val="0"/>
              <w:spacing w:before="0" w:after="283"/>
              <w:jc w:val="both"/>
              <w:rPr>
                <w:sz w:val="20"/>
              </w:rPr>
            </w:pPr>
            <w:r>
              <w:rPr>
                <w:sz w:val="20"/>
              </w:rPr>
              <w:t>The components of the Company’s share-based compensation expenses are as follows (all amounts in thousands):</w:t>
            </w:r>
          </w:p>
        </w:tc>
      </w:tr>
    </w:tbl>
    <w:p>
      <w:pPr>
        <w:pStyle w:val="TextBody"/>
        <w:bidi w:val="0"/>
        <w:spacing w:before="0" w:after="0"/>
        <w:ind w:left="0" w:right="0" w:hanging="0"/>
        <w:jc w:val="both"/>
        <w:rPr>
          <w:caps w:val="false"/>
          <w:smallCaps w:val="false"/>
        </w:rPr>
      </w:pPr>
      <w:r>
        <w:rPr>
          <w:caps w:val="false"/>
          <w:smallCaps w:val="false"/>
        </w:rPr>
        <w:t> </w:t>
      </w:r>
    </w:p>
    <w:tbl>
      <w:tblPr>
        <w:tblW w:w="9171" w:type="dxa"/>
        <w:jc w:val="left"/>
        <w:tblInd w:w="0" w:type="dxa"/>
        <w:tblLayout w:type="fixed"/>
        <w:tblCellMar>
          <w:top w:w="0" w:type="dxa"/>
          <w:left w:w="0" w:type="dxa"/>
          <w:bottom w:w="0" w:type="dxa"/>
          <w:right w:w="0" w:type="dxa"/>
        </w:tblCellMar>
      </w:tblPr>
      <w:tblGrid>
        <w:gridCol w:w="3005"/>
        <w:gridCol w:w="60"/>
        <w:gridCol w:w="1096"/>
        <w:gridCol w:w="116"/>
        <w:gridCol w:w="944"/>
        <w:gridCol w:w="116"/>
        <w:gridCol w:w="791"/>
        <w:gridCol w:w="80"/>
        <w:gridCol w:w="978"/>
        <w:gridCol w:w="103"/>
        <w:gridCol w:w="842"/>
        <w:gridCol w:w="103"/>
        <w:gridCol w:w="842"/>
        <w:gridCol w:w="9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3"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 June 30,</w:t>
            </w:r>
          </w:p>
        </w:tc>
        <w:tc>
          <w:tcPr>
            <w:tcW w:w="80" w:type="dxa"/>
            <w:tcBorders/>
            <w:vAlign w:val="center"/>
          </w:tcPr>
          <w:p>
            <w:pPr>
              <w:pStyle w:val="TableContents"/>
              <w:bidi w:val="0"/>
              <w:spacing w:before="0" w:after="283"/>
              <w:jc w:val="left"/>
              <w:rPr/>
            </w:pPr>
            <w:r>
              <w:rPr/>
              <w:t> </w:t>
            </w:r>
          </w:p>
        </w:tc>
        <w:tc>
          <w:tcPr>
            <w:tcW w:w="2868"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9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16" w:type="dxa"/>
            <w:tcBorders/>
            <w:vAlign w:val="center"/>
          </w:tcPr>
          <w:p>
            <w:pPr>
              <w:pStyle w:val="TableContents"/>
              <w:bidi w:val="0"/>
              <w:spacing w:before="0" w:after="283"/>
              <w:jc w:val="left"/>
              <w:rPr/>
            </w:pPr>
            <w:r>
              <w:rPr/>
              <w:t> </w:t>
            </w:r>
          </w:p>
        </w:tc>
        <w:tc>
          <w:tcPr>
            <w:tcW w:w="1851"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978"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03" w:type="dxa"/>
            <w:tcBorders/>
            <w:vAlign w:val="center"/>
          </w:tcPr>
          <w:p>
            <w:pPr>
              <w:pStyle w:val="TableContents"/>
              <w:bidi w:val="0"/>
              <w:spacing w:before="0" w:after="283"/>
              <w:jc w:val="left"/>
              <w:rPr/>
            </w:pPr>
            <w:r>
              <w:rPr/>
              <w:t> </w:t>
            </w:r>
          </w:p>
        </w:tc>
        <w:tc>
          <w:tcPr>
            <w:tcW w:w="1787"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center"/>
              <w:rPr>
                <w:b/>
                <w:sz w:val="20"/>
              </w:rPr>
            </w:pPr>
            <w:r>
              <w:rPr>
                <w:b/>
                <w:sz w:val="20"/>
              </w:rPr>
              <w:t>RMB</w:t>
            </w:r>
          </w:p>
        </w:tc>
        <w:tc>
          <w:tcPr>
            <w:tcW w:w="11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b/>
                <w:sz w:val="20"/>
              </w:rPr>
            </w:pPr>
            <w:r>
              <w:rPr>
                <w:b/>
                <w:sz w:val="20"/>
              </w:rPr>
              <w:t>RMB</w:t>
            </w:r>
          </w:p>
        </w:tc>
        <w:tc>
          <w:tcPr>
            <w:tcW w:w="116"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center"/>
              <w:rPr>
                <w:b/>
                <w:sz w:val="20"/>
              </w:rPr>
            </w:pPr>
            <w:r>
              <w:rPr>
                <w:b/>
                <w:sz w:val="20"/>
              </w:rPr>
              <w:t>US$</w:t>
            </w:r>
          </w:p>
        </w:tc>
        <w:tc>
          <w:tcPr>
            <w:tcW w:w="80"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center"/>
              <w:rPr>
                <w:b/>
                <w:sz w:val="20"/>
              </w:rPr>
            </w:pPr>
            <w:r>
              <w:rPr>
                <w:b/>
                <w:sz w:val="20"/>
              </w:rPr>
              <w:t>RMB</w:t>
            </w:r>
          </w:p>
        </w:tc>
        <w:tc>
          <w:tcPr>
            <w:tcW w:w="10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b/>
                <w:sz w:val="20"/>
              </w:rPr>
            </w:pPr>
            <w:r>
              <w:rPr>
                <w:b/>
                <w:sz w:val="20"/>
              </w:rPr>
              <w:t>RMB</w:t>
            </w:r>
          </w:p>
        </w:tc>
        <w:tc>
          <w:tcPr>
            <w:tcW w:w="10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b/>
                <w:sz w:val="20"/>
              </w:rPr>
            </w:pPr>
            <w:r>
              <w:rPr>
                <w:b/>
                <w:sz w:val="20"/>
              </w:rPr>
              <w:t>US$</w:t>
            </w:r>
          </w:p>
        </w:tc>
        <w:tc>
          <w:tcPr>
            <w:tcW w:w="9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sz w:val="20"/>
              </w:rPr>
            </w:pPr>
            <w:r>
              <w:rPr>
                <w:sz w:val="20"/>
              </w:rPr>
              <w:t>Other operating costs</w:t>
            </w:r>
          </w:p>
        </w:tc>
        <w:tc>
          <w:tcPr>
            <w:tcW w:w="60"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sz w:val="20"/>
              </w:rPr>
            </w:pPr>
            <w:r>
              <w:rPr>
                <w:sz w:val="20"/>
              </w:rPr>
              <w:t>(15,799</w:t>
            </w:r>
          </w:p>
        </w:tc>
        <w:tc>
          <w:tcPr>
            <w:tcW w:w="116" w:type="dxa"/>
            <w:tcBorders/>
            <w:shd w:fill="CCEEFF" w:val="clear"/>
            <w:vAlign w:val="center"/>
          </w:tcPr>
          <w:p>
            <w:pPr>
              <w:pStyle w:val="TableContents"/>
              <w:bidi w:val="0"/>
              <w:spacing w:before="0" w:after="283"/>
              <w:jc w:val="left"/>
              <w:rPr>
                <w:sz w:val="20"/>
              </w:rPr>
            </w:pPr>
            <w:r>
              <w:rPr>
                <w:sz w:val="20"/>
              </w:rPr>
              <w:t>)</w:t>
            </w:r>
          </w:p>
        </w:tc>
        <w:tc>
          <w:tcPr>
            <w:tcW w:w="944" w:type="dxa"/>
            <w:tcBorders/>
            <w:shd w:fill="CCEEFF" w:val="clear"/>
            <w:vAlign w:val="center"/>
          </w:tcPr>
          <w:p>
            <w:pPr>
              <w:pStyle w:val="TableContents"/>
              <w:bidi w:val="0"/>
              <w:spacing w:before="0" w:after="283"/>
              <w:jc w:val="right"/>
              <w:rPr>
                <w:sz w:val="20"/>
              </w:rPr>
            </w:pPr>
            <w:r>
              <w:rPr>
                <w:sz w:val="20"/>
              </w:rPr>
              <w:t>(565</w:t>
            </w:r>
          </w:p>
        </w:tc>
        <w:tc>
          <w:tcPr>
            <w:tcW w:w="116" w:type="dxa"/>
            <w:tcBorders/>
            <w:shd w:fill="CCEEFF" w:val="clear"/>
            <w:vAlign w:val="center"/>
          </w:tcPr>
          <w:p>
            <w:pPr>
              <w:pStyle w:val="TableContents"/>
              <w:bidi w:val="0"/>
              <w:spacing w:before="0" w:after="283"/>
              <w:jc w:val="left"/>
              <w:rPr>
                <w:sz w:val="20"/>
              </w:rPr>
            </w:pPr>
            <w:r>
              <w:rPr>
                <w:sz w:val="20"/>
              </w:rPr>
              <w:t>)</w:t>
            </w:r>
          </w:p>
        </w:tc>
        <w:tc>
          <w:tcPr>
            <w:tcW w:w="791" w:type="dxa"/>
            <w:tcBorders/>
            <w:shd w:fill="CCEEFF" w:val="clear"/>
            <w:vAlign w:val="center"/>
          </w:tcPr>
          <w:p>
            <w:pPr>
              <w:pStyle w:val="TableContents"/>
              <w:bidi w:val="0"/>
              <w:spacing w:before="0" w:after="283"/>
              <w:jc w:val="right"/>
              <w:rPr>
                <w:sz w:val="20"/>
              </w:rPr>
            </w:pPr>
            <w:r>
              <w:rPr>
                <w:sz w:val="20"/>
              </w:rPr>
              <w:t>(83</w:t>
            </w:r>
          </w:p>
        </w:tc>
        <w:tc>
          <w:tcPr>
            <w:tcW w:w="80" w:type="dxa"/>
            <w:tcBorders/>
            <w:shd w:fill="CCEEFF" w:val="clear"/>
            <w:vAlign w:val="center"/>
          </w:tcPr>
          <w:p>
            <w:pPr>
              <w:pStyle w:val="TableContents"/>
              <w:bidi w:val="0"/>
              <w:spacing w:before="0" w:after="283"/>
              <w:jc w:val="left"/>
              <w:rPr>
                <w:sz w:val="20"/>
              </w:rPr>
            </w:pPr>
            <w:r>
              <w:rPr>
                <w:sz w:val="20"/>
              </w:rPr>
              <w:t>)</w:t>
            </w:r>
          </w:p>
        </w:tc>
        <w:tc>
          <w:tcPr>
            <w:tcW w:w="978" w:type="dxa"/>
            <w:tcBorders/>
            <w:shd w:fill="CCEEFF" w:val="clear"/>
            <w:vAlign w:val="center"/>
          </w:tcPr>
          <w:p>
            <w:pPr>
              <w:pStyle w:val="TableContents"/>
              <w:bidi w:val="0"/>
              <w:spacing w:before="0" w:after="283"/>
              <w:jc w:val="right"/>
              <w:rPr>
                <w:sz w:val="20"/>
              </w:rPr>
            </w:pPr>
            <w:r>
              <w:rPr>
                <w:sz w:val="20"/>
              </w:rPr>
              <w:t>(15,799</w:t>
            </w:r>
          </w:p>
        </w:tc>
        <w:tc>
          <w:tcPr>
            <w:tcW w:w="103" w:type="dxa"/>
            <w:tcBorders/>
            <w:shd w:fill="CCEEFF" w:val="clear"/>
            <w:vAlign w:val="center"/>
          </w:tcPr>
          <w:p>
            <w:pPr>
              <w:pStyle w:val="TableContents"/>
              <w:bidi w:val="0"/>
              <w:spacing w:before="0" w:after="283"/>
              <w:jc w:val="left"/>
              <w:rPr>
                <w:sz w:val="20"/>
              </w:rPr>
            </w:pPr>
            <w:r>
              <w:rPr>
                <w:sz w:val="20"/>
              </w:rPr>
              <w:t>)</w:t>
            </w:r>
          </w:p>
        </w:tc>
        <w:tc>
          <w:tcPr>
            <w:tcW w:w="842" w:type="dxa"/>
            <w:tcBorders/>
            <w:shd w:fill="CCEEFF" w:val="clear"/>
            <w:vAlign w:val="center"/>
          </w:tcPr>
          <w:p>
            <w:pPr>
              <w:pStyle w:val="TableContents"/>
              <w:bidi w:val="0"/>
              <w:spacing w:before="0" w:after="283"/>
              <w:jc w:val="right"/>
              <w:rPr>
                <w:sz w:val="20"/>
              </w:rPr>
            </w:pPr>
            <w:r>
              <w:rPr>
                <w:sz w:val="20"/>
              </w:rPr>
              <w:t>(5,836</w:t>
            </w:r>
          </w:p>
        </w:tc>
        <w:tc>
          <w:tcPr>
            <w:tcW w:w="103" w:type="dxa"/>
            <w:tcBorders/>
            <w:shd w:fill="CCEEFF" w:val="clear"/>
            <w:vAlign w:val="center"/>
          </w:tcPr>
          <w:p>
            <w:pPr>
              <w:pStyle w:val="TableContents"/>
              <w:bidi w:val="0"/>
              <w:spacing w:before="0" w:after="283"/>
              <w:jc w:val="left"/>
              <w:rPr>
                <w:sz w:val="20"/>
              </w:rPr>
            </w:pPr>
            <w:r>
              <w:rPr>
                <w:sz w:val="20"/>
              </w:rPr>
              <w:t>)</w:t>
            </w:r>
          </w:p>
        </w:tc>
        <w:tc>
          <w:tcPr>
            <w:tcW w:w="842" w:type="dxa"/>
            <w:tcBorders/>
            <w:shd w:fill="CCEEFF" w:val="clear"/>
            <w:vAlign w:val="center"/>
          </w:tcPr>
          <w:p>
            <w:pPr>
              <w:pStyle w:val="TableContents"/>
              <w:bidi w:val="0"/>
              <w:spacing w:before="0" w:after="283"/>
              <w:jc w:val="right"/>
              <w:rPr>
                <w:sz w:val="20"/>
              </w:rPr>
            </w:pPr>
            <w:r>
              <w:rPr>
                <w:sz w:val="20"/>
              </w:rPr>
              <w:t>(860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005" w:type="dxa"/>
            <w:tcBorders/>
            <w:shd w:fill="FFFFFF" w:val="clear"/>
            <w:vAlign w:val="center"/>
          </w:tcPr>
          <w:p>
            <w:pPr>
              <w:pStyle w:val="TableContents"/>
              <w:bidi w:val="0"/>
              <w:spacing w:before="0" w:after="283"/>
              <w:jc w:val="left"/>
              <w:rPr>
                <w:sz w:val="20"/>
              </w:rPr>
            </w:pPr>
            <w:r>
              <w:rPr>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sz w:val="20"/>
              </w:rPr>
            </w:pPr>
            <w:r>
              <w:rPr>
                <w:sz w:val="20"/>
              </w:rPr>
              <w:t>(31,131</w:t>
            </w:r>
          </w:p>
        </w:tc>
        <w:tc>
          <w:tcPr>
            <w:tcW w:w="116" w:type="dxa"/>
            <w:tcBorders/>
            <w:shd w:fill="FFFFFF" w:val="clear"/>
            <w:vAlign w:val="center"/>
          </w:tcPr>
          <w:p>
            <w:pPr>
              <w:pStyle w:val="TableContents"/>
              <w:bidi w:val="0"/>
              <w:spacing w:before="0" w:after="283"/>
              <w:jc w:val="left"/>
              <w:rPr>
                <w:sz w:val="20"/>
              </w:rPr>
            </w:pPr>
            <w:r>
              <w:rPr>
                <w:sz w:val="20"/>
              </w:rPr>
              <w:t>)</w:t>
            </w:r>
          </w:p>
        </w:tc>
        <w:tc>
          <w:tcPr>
            <w:tcW w:w="944" w:type="dxa"/>
            <w:tcBorders/>
            <w:shd w:fill="FFFFFF" w:val="clear"/>
            <w:vAlign w:val="center"/>
          </w:tcPr>
          <w:p>
            <w:pPr>
              <w:pStyle w:val="TableContents"/>
              <w:bidi w:val="0"/>
              <w:spacing w:before="0" w:after="283"/>
              <w:jc w:val="right"/>
              <w:rPr>
                <w:sz w:val="20"/>
              </w:rPr>
            </w:pPr>
            <w:r>
              <w:rPr>
                <w:sz w:val="20"/>
              </w:rPr>
              <w:t>(480</w:t>
            </w:r>
          </w:p>
        </w:tc>
        <w:tc>
          <w:tcPr>
            <w:tcW w:w="116" w:type="dxa"/>
            <w:tcBorders/>
            <w:shd w:fill="FFFFFF" w:val="clear"/>
            <w:vAlign w:val="center"/>
          </w:tcPr>
          <w:p>
            <w:pPr>
              <w:pStyle w:val="TableContents"/>
              <w:bidi w:val="0"/>
              <w:spacing w:before="0" w:after="283"/>
              <w:jc w:val="left"/>
              <w:rPr>
                <w:sz w:val="20"/>
              </w:rPr>
            </w:pPr>
            <w:r>
              <w:rPr>
                <w:sz w:val="20"/>
              </w:rPr>
              <w:t>)</w:t>
            </w:r>
          </w:p>
        </w:tc>
        <w:tc>
          <w:tcPr>
            <w:tcW w:w="791" w:type="dxa"/>
            <w:tcBorders/>
            <w:shd w:fill="FFFFFF" w:val="clear"/>
            <w:vAlign w:val="center"/>
          </w:tcPr>
          <w:p>
            <w:pPr>
              <w:pStyle w:val="TableContents"/>
              <w:bidi w:val="0"/>
              <w:spacing w:before="0" w:after="283"/>
              <w:jc w:val="right"/>
              <w:rPr>
                <w:sz w:val="20"/>
              </w:rPr>
            </w:pPr>
            <w:r>
              <w:rPr>
                <w:sz w:val="20"/>
              </w:rPr>
              <w:t>(71</w:t>
            </w:r>
          </w:p>
        </w:tc>
        <w:tc>
          <w:tcPr>
            <w:tcW w:w="80" w:type="dxa"/>
            <w:tcBorders/>
            <w:shd w:fill="FFFFFF" w:val="clear"/>
            <w:vAlign w:val="center"/>
          </w:tcPr>
          <w:p>
            <w:pPr>
              <w:pStyle w:val="TableContents"/>
              <w:bidi w:val="0"/>
              <w:spacing w:before="0" w:after="283"/>
              <w:jc w:val="left"/>
              <w:rPr>
                <w:sz w:val="20"/>
              </w:rPr>
            </w:pPr>
            <w:r>
              <w:rPr>
                <w:sz w:val="20"/>
              </w:rPr>
              <w:t>)</w:t>
            </w:r>
          </w:p>
        </w:tc>
        <w:tc>
          <w:tcPr>
            <w:tcW w:w="978" w:type="dxa"/>
            <w:tcBorders/>
            <w:shd w:fill="FFFFFF" w:val="clear"/>
            <w:vAlign w:val="center"/>
          </w:tcPr>
          <w:p>
            <w:pPr>
              <w:pStyle w:val="TableContents"/>
              <w:bidi w:val="0"/>
              <w:spacing w:before="0" w:after="283"/>
              <w:jc w:val="right"/>
              <w:rPr>
                <w:sz w:val="20"/>
              </w:rPr>
            </w:pPr>
            <w:r>
              <w:rPr>
                <w:sz w:val="20"/>
              </w:rPr>
              <w:t>(31,131</w:t>
            </w:r>
          </w:p>
        </w:tc>
        <w:tc>
          <w:tcPr>
            <w:tcW w:w="103" w:type="dxa"/>
            <w:tcBorders/>
            <w:shd w:fill="FFFFFF" w:val="clear"/>
            <w:vAlign w:val="center"/>
          </w:tcPr>
          <w:p>
            <w:pPr>
              <w:pStyle w:val="TableContents"/>
              <w:bidi w:val="0"/>
              <w:spacing w:before="0" w:after="283"/>
              <w:jc w:val="left"/>
              <w:rPr>
                <w:sz w:val="20"/>
              </w:rPr>
            </w:pPr>
            <w:r>
              <w:rPr>
                <w:sz w:val="20"/>
              </w:rPr>
              <w:t>)</w:t>
            </w:r>
          </w:p>
        </w:tc>
        <w:tc>
          <w:tcPr>
            <w:tcW w:w="842" w:type="dxa"/>
            <w:tcBorders/>
            <w:shd w:fill="FFFFFF" w:val="clear"/>
            <w:vAlign w:val="center"/>
          </w:tcPr>
          <w:p>
            <w:pPr>
              <w:pStyle w:val="TableContents"/>
              <w:bidi w:val="0"/>
              <w:spacing w:before="0" w:after="283"/>
              <w:jc w:val="right"/>
              <w:rPr>
                <w:sz w:val="20"/>
              </w:rPr>
            </w:pPr>
            <w:r>
              <w:rPr>
                <w:sz w:val="20"/>
              </w:rPr>
              <w:t>(2,102</w:t>
            </w:r>
          </w:p>
        </w:tc>
        <w:tc>
          <w:tcPr>
            <w:tcW w:w="103" w:type="dxa"/>
            <w:tcBorders/>
            <w:shd w:fill="FFFFFF" w:val="clear"/>
            <w:vAlign w:val="center"/>
          </w:tcPr>
          <w:p>
            <w:pPr>
              <w:pStyle w:val="TableContents"/>
              <w:bidi w:val="0"/>
              <w:spacing w:before="0" w:after="283"/>
              <w:jc w:val="left"/>
              <w:rPr>
                <w:sz w:val="20"/>
              </w:rPr>
            </w:pPr>
            <w:r>
              <w:rPr>
                <w:sz w:val="20"/>
              </w:rPr>
              <w:t>)</w:t>
            </w:r>
          </w:p>
        </w:tc>
        <w:tc>
          <w:tcPr>
            <w:tcW w:w="842" w:type="dxa"/>
            <w:tcBorders/>
            <w:shd w:fill="FFFFFF" w:val="clear"/>
            <w:vAlign w:val="center"/>
          </w:tcPr>
          <w:p>
            <w:pPr>
              <w:pStyle w:val="TableContents"/>
              <w:bidi w:val="0"/>
              <w:spacing w:before="0" w:after="283"/>
              <w:jc w:val="right"/>
              <w:rPr>
                <w:sz w:val="20"/>
              </w:rPr>
            </w:pPr>
            <w:r>
              <w:rPr>
                <w:sz w:val="20"/>
              </w:rPr>
              <w:t>(310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005" w:type="dxa"/>
            <w:tcBorders/>
            <w:shd w:fill="CCEEFF" w:val="clear"/>
            <w:vAlign w:val="center"/>
          </w:tcPr>
          <w:p>
            <w:pPr>
              <w:pStyle w:val="TableContents"/>
              <w:bidi w:val="0"/>
              <w:spacing w:before="0" w:after="283"/>
              <w:jc w:val="left"/>
              <w:rPr>
                <w:sz w:val="20"/>
              </w:rPr>
            </w:pPr>
            <w:r>
              <w:rPr>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(505,599</w:t>
            </w:r>
          </w:p>
        </w:tc>
        <w:tc>
          <w:tcPr>
            <w:tcW w:w="116" w:type="dxa"/>
            <w:tcBorders/>
            <w:shd w:fill="CCEEFF" w:val="clear"/>
            <w:vAlign w:val="center"/>
          </w:tcPr>
          <w:p>
            <w:pPr>
              <w:pStyle w:val="TableContents"/>
              <w:bidi w:val="0"/>
              <w:spacing w:before="0" w:after="283"/>
              <w:jc w:val="left"/>
              <w:rPr>
                <w:sz w:val="20"/>
              </w:rPr>
            </w:pPr>
            <w:r>
              <w:rPr>
                <w:sz w:val="20"/>
              </w:rPr>
              <w:t>)</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(22,860</w:t>
            </w:r>
          </w:p>
        </w:tc>
        <w:tc>
          <w:tcPr>
            <w:tcW w:w="116" w:type="dxa"/>
            <w:tcBorders/>
            <w:shd w:fill="CCEEFF" w:val="clear"/>
            <w:vAlign w:val="center"/>
          </w:tcPr>
          <w:p>
            <w:pPr>
              <w:pStyle w:val="TableContents"/>
              <w:bidi w:val="0"/>
              <w:spacing w:before="0" w:after="283"/>
              <w:jc w:val="left"/>
              <w:rPr>
                <w:sz w:val="20"/>
              </w:rPr>
            </w:pPr>
            <w:r>
              <w:rPr>
                <w:sz w:val="20"/>
              </w:rPr>
              <w:t>)</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(3,369</w:t>
            </w:r>
          </w:p>
        </w:tc>
        <w:tc>
          <w:tcPr>
            <w:tcW w:w="80" w:type="dxa"/>
            <w:tcBorders/>
            <w:shd w:fill="CCEEFF" w:val="clear"/>
            <w:vAlign w:val="center"/>
          </w:tcPr>
          <w:p>
            <w:pPr>
              <w:pStyle w:val="TableContents"/>
              <w:bidi w:val="0"/>
              <w:spacing w:before="0" w:after="283"/>
              <w:jc w:val="left"/>
              <w:rPr>
                <w:sz w:val="20"/>
              </w:rPr>
            </w:pPr>
            <w:r>
              <w:rPr>
                <w:sz w:val="20"/>
              </w:rPr>
              <w:t>)</w:t>
            </w:r>
          </w:p>
        </w:tc>
        <w:tc>
          <w:tcPr>
            <w:tcW w:w="97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(505,599</w:t>
            </w:r>
          </w:p>
        </w:tc>
        <w:tc>
          <w:tcPr>
            <w:tcW w:w="103" w:type="dxa"/>
            <w:tcBorders/>
            <w:shd w:fill="CCEEFF" w:val="clear"/>
            <w:vAlign w:val="center"/>
          </w:tcPr>
          <w:p>
            <w:pPr>
              <w:pStyle w:val="TableContents"/>
              <w:bidi w:val="0"/>
              <w:spacing w:before="0" w:after="283"/>
              <w:jc w:val="left"/>
              <w:rPr>
                <w:sz w:val="20"/>
              </w:rPr>
            </w:pPr>
            <w:r>
              <w:rPr>
                <w:sz w:val="20"/>
              </w:rPr>
              <w:t>)</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(74,983</w:t>
            </w:r>
          </w:p>
        </w:tc>
        <w:tc>
          <w:tcPr>
            <w:tcW w:w="103" w:type="dxa"/>
            <w:tcBorders/>
            <w:shd w:fill="CCEEFF" w:val="clear"/>
            <w:vAlign w:val="center"/>
          </w:tcPr>
          <w:p>
            <w:pPr>
              <w:pStyle w:val="TableContents"/>
              <w:bidi w:val="0"/>
              <w:spacing w:before="0" w:after="283"/>
              <w:jc w:val="left"/>
              <w:rPr>
                <w:sz w:val="20"/>
              </w:rPr>
            </w:pPr>
            <w:r>
              <w:rPr>
                <w:sz w:val="20"/>
              </w:rPr>
              <w:t>)</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(11,051</w:t>
            </w:r>
          </w:p>
        </w:tc>
        <w:tc>
          <w:tcPr>
            <w:tcW w:w="9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tax effects of share-based compensation expenses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4085</Words>
  <Characters>23159</Characters>
  <CharactersWithSpaces>27504</CharactersWithSpaces>
  <Paragraphs>2069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