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16, 2025</w:t>
      </w:r>
    </w:p>
    <w:p>
      <w:pPr>
        <w:spacing w:after="0" w:line="31" w:lineRule="exact"/>
        <w:rPr>
          <w:sz w:val="24"/>
          <w:szCs w:val="24"/>
          <w:color w:val="auto"/>
        </w:rPr>
      </w:pPr>
    </w:p>
    <w:p>
      <w:pPr>
        <w:ind w:left="89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440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1380" w:type="dxa"/>
            <w:vAlign w:val="bottom"/>
          </w:tcPr>
          <w:p>
            <w:pPr>
              <w:spacing w:after="0"/>
              <w:rPr>
                <w:sz w:val="20"/>
                <w:szCs w:val="20"/>
                <w:color w:val="auto"/>
              </w:rPr>
            </w:pPr>
          </w:p>
        </w:tc>
      </w:tr>
      <w:tr>
        <w:trPr>
          <w:trHeight w:val="124"/>
        </w:trPr>
        <w:tc>
          <w:tcPr>
            <w:tcW w:w="3360" w:type="dxa"/>
            <w:vAlign w:val="bottom"/>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160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498"/>
        </w:trPr>
        <w:tc>
          <w:tcPr>
            <w:tcW w:w="3360" w:type="dxa"/>
            <w:vAlign w:val="bottom"/>
          </w:tcPr>
          <w:p>
            <w:pPr>
              <w:spacing w:after="0"/>
              <w:rPr>
                <w:sz w:val="24"/>
                <w:szCs w:val="24"/>
                <w:color w:val="auto"/>
              </w:rPr>
            </w:pPr>
          </w:p>
        </w:tc>
        <w:tc>
          <w:tcPr>
            <w:tcW w:w="4400" w:type="dxa"/>
            <w:vAlign w:val="bottom"/>
            <w:gridSpan w:val="2"/>
          </w:tcPr>
          <w:p>
            <w:pPr>
              <w:ind w:left="600"/>
              <w:spacing w:after="0"/>
              <w:rPr>
                <w:sz w:val="20"/>
                <w:szCs w:val="20"/>
                <w:color w:val="auto"/>
              </w:rPr>
            </w:pPr>
            <w:r>
              <w:rPr>
                <w:rFonts w:ascii="Times New Roman" w:cs="Times New Roman" w:eastAsia="Times New Roman" w:hAnsi="Times New Roman"/>
                <w:sz w:val="32"/>
                <w:szCs w:val="32"/>
                <w:b w:val="1"/>
                <w:bCs w:val="1"/>
                <w:color w:val="auto"/>
              </w:rPr>
              <w:t>FORM S-8</w:t>
            </w:r>
          </w:p>
        </w:tc>
        <w:tc>
          <w:tcPr>
            <w:tcW w:w="1380" w:type="dxa"/>
            <w:vAlign w:val="bottom"/>
          </w:tcPr>
          <w:p>
            <w:pPr>
              <w:spacing w:after="0"/>
              <w:rPr>
                <w:sz w:val="24"/>
                <w:szCs w:val="24"/>
                <w:color w:val="auto"/>
              </w:rPr>
            </w:pPr>
          </w:p>
        </w:tc>
      </w:tr>
      <w:tr>
        <w:trPr>
          <w:trHeight w:val="238"/>
        </w:trPr>
        <w:tc>
          <w:tcPr>
            <w:tcW w:w="7760" w:type="dxa"/>
            <w:vAlign w:val="bottom"/>
            <w:gridSpan w:val="3"/>
          </w:tcPr>
          <w:p>
            <w:pPr>
              <w:jc w:val="center"/>
              <w:ind w:left="1678"/>
              <w:spacing w:after="0"/>
              <w:rPr>
                <w:sz w:val="20"/>
                <w:szCs w:val="20"/>
                <w:color w:val="auto"/>
              </w:rPr>
            </w:pPr>
            <w:r>
              <w:rPr>
                <w:rFonts w:ascii="Times New Roman" w:cs="Times New Roman" w:eastAsia="Times New Roman" w:hAnsi="Times New Roman"/>
                <w:sz w:val="18"/>
                <w:szCs w:val="18"/>
                <w:b w:val="1"/>
                <w:bCs w:val="1"/>
                <w:color w:val="auto"/>
                <w:w w:val="99"/>
              </w:rPr>
              <w:t>REGISTRATION STATEMENT UNDER THE SECURITIES ACT OF 1933</w:t>
            </w:r>
          </w:p>
        </w:tc>
        <w:tc>
          <w:tcPr>
            <w:tcW w:w="1380" w:type="dxa"/>
            <w:vAlign w:val="bottom"/>
          </w:tcPr>
          <w:p>
            <w:pPr>
              <w:spacing w:after="0"/>
              <w:rPr>
                <w:sz w:val="20"/>
                <w:szCs w:val="20"/>
                <w:color w:val="auto"/>
              </w:rPr>
            </w:pPr>
          </w:p>
        </w:tc>
      </w:tr>
      <w:tr>
        <w:trPr>
          <w:trHeight w:val="148"/>
        </w:trPr>
        <w:tc>
          <w:tcPr>
            <w:tcW w:w="3360" w:type="dxa"/>
            <w:vAlign w:val="bottom"/>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515"/>
        </w:trPr>
        <w:tc>
          <w:tcPr>
            <w:tcW w:w="7760" w:type="dxa"/>
            <w:vAlign w:val="bottom"/>
            <w:gridSpan w:val="3"/>
          </w:tcPr>
          <w:p>
            <w:pPr>
              <w:jc w:val="center"/>
              <w:ind w:left="1658"/>
              <w:spacing w:after="0"/>
              <w:rPr>
                <w:sz w:val="20"/>
                <w:szCs w:val="20"/>
                <w:color w:val="auto"/>
              </w:rPr>
            </w:pPr>
            <w:r>
              <w:rPr>
                <w:rFonts w:ascii="Times New Roman" w:cs="Times New Roman" w:eastAsia="Times New Roman" w:hAnsi="Times New Roman"/>
                <w:sz w:val="32"/>
                <w:szCs w:val="32"/>
                <w:b w:val="1"/>
                <w:bCs w:val="1"/>
                <w:color w:val="auto"/>
              </w:rPr>
              <w:t>Chagee Holdings Limited</w:t>
            </w:r>
          </w:p>
        </w:tc>
        <w:tc>
          <w:tcPr>
            <w:tcW w:w="1380" w:type="dxa"/>
            <w:vAlign w:val="bottom"/>
          </w:tcPr>
          <w:p>
            <w:pPr>
              <w:spacing w:after="0"/>
              <w:rPr>
                <w:sz w:val="24"/>
                <w:szCs w:val="24"/>
                <w:color w:val="auto"/>
              </w:rPr>
            </w:pPr>
          </w:p>
        </w:tc>
      </w:tr>
      <w:tr>
        <w:trPr>
          <w:trHeight w:val="234"/>
        </w:trPr>
        <w:tc>
          <w:tcPr>
            <w:tcW w:w="7760" w:type="dxa"/>
            <w:vAlign w:val="bottom"/>
            <w:gridSpan w:val="3"/>
          </w:tcPr>
          <w:p>
            <w:pPr>
              <w:jc w:val="center"/>
              <w:ind w:left="165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380" w:type="dxa"/>
            <w:vAlign w:val="bottom"/>
          </w:tcPr>
          <w:p>
            <w:pPr>
              <w:spacing w:after="0"/>
              <w:rPr>
                <w:sz w:val="20"/>
                <w:szCs w:val="20"/>
                <w:color w:val="auto"/>
              </w:rPr>
            </w:pPr>
          </w:p>
        </w:tc>
      </w:tr>
      <w:tr>
        <w:trPr>
          <w:trHeight w:val="148"/>
        </w:trPr>
        <w:tc>
          <w:tcPr>
            <w:tcW w:w="3360" w:type="dxa"/>
            <w:vAlign w:val="bottom"/>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353"/>
        </w:trPr>
        <w:tc>
          <w:tcPr>
            <w:tcW w:w="7760" w:type="dxa"/>
            <w:vAlign w:val="bottom"/>
            <w:gridSpan w:val="3"/>
          </w:tcPr>
          <w:p>
            <w:pPr>
              <w:jc w:val="center"/>
              <w:ind w:right="540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7760" w:type="dxa"/>
            <w:vAlign w:val="bottom"/>
            <w:gridSpan w:val="3"/>
          </w:tcPr>
          <w:p>
            <w:pPr>
              <w:jc w:val="center"/>
              <w:ind w:right="542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760" w:type="dxa"/>
            <w:vAlign w:val="bottom"/>
            <w:gridSpan w:val="3"/>
          </w:tcPr>
          <w:p>
            <w:pPr>
              <w:jc w:val="center"/>
              <w:ind w:right="540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Tower B, Hongqiao Lianhe Building</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 99 Kaihong Road</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Changning District, Shanghai</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People’s Republic of China, 200051</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+86 186 8893 0014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Public Company Share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+1 212 947 7200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10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9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69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42"/>
        </w:trPr>
        <w:tc>
          <w:tcPr>
            <w:tcW w:w="42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Junjie Zhang</w:t>
            </w:r>
          </w:p>
        </w:tc>
        <w:tc>
          <w:tcPr>
            <w:tcW w:w="696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Li He, Esq.</w:t>
            </w:r>
          </w:p>
        </w:tc>
      </w:tr>
      <w:tr>
        <w:trPr>
          <w:trHeight w:val="220"/>
        </w:trPr>
        <w:tc>
          <w:tcPr>
            <w:tcW w:w="42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c>
          <w:tcPr>
            <w:tcW w:w="6960" w:type="dxa"/>
            <w:vAlign w:val="bottom"/>
          </w:tcPr>
          <w:p>
            <w:pPr>
              <w:spacing w:after="0"/>
              <w:rPr>
                <w:sz w:val="19"/>
                <w:szCs w:val="19"/>
                <w:color w:val="auto"/>
              </w:rPr>
            </w:pPr>
          </w:p>
        </w:tc>
      </w:tr>
      <w:tr>
        <w:trPr>
          <w:trHeight w:val="216"/>
        </w:trPr>
        <w:tc>
          <w:tcPr>
            <w:tcW w:w="42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Chagee Holdings Limited</w:t>
            </w:r>
          </w:p>
        </w:tc>
        <w:tc>
          <w:tcPr>
            <w:tcW w:w="696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w w:val="99"/>
              </w:rPr>
              <w:t>Davis Polk &amp; Wardwell LLP</w:t>
            </w:r>
          </w:p>
        </w:tc>
      </w:tr>
      <w:tr>
        <w:trPr>
          <w:trHeight w:val="216"/>
        </w:trPr>
        <w:tc>
          <w:tcPr>
            <w:tcW w:w="42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Tower B, Hongqiao Lianhe Building</w:t>
            </w:r>
          </w:p>
        </w:tc>
        <w:tc>
          <w:tcPr>
            <w:tcW w:w="69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c/o 18th Floor</w:t>
            </w:r>
          </w:p>
        </w:tc>
      </w:tr>
      <w:tr>
        <w:trPr>
          <w:trHeight w:val="216"/>
        </w:trPr>
        <w:tc>
          <w:tcPr>
            <w:tcW w:w="42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No. 99 Kaihong Road</w:t>
            </w:r>
          </w:p>
        </w:tc>
        <w:tc>
          <w:tcPr>
            <w:tcW w:w="696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w w:val="99"/>
              </w:rPr>
              <w:t>The Hong Kong Club Building</w:t>
            </w:r>
          </w:p>
        </w:tc>
      </w:tr>
      <w:tr>
        <w:trPr>
          <w:trHeight w:val="216"/>
        </w:trPr>
        <w:tc>
          <w:tcPr>
            <w:tcW w:w="42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Changning District, Shanghai</w:t>
            </w:r>
          </w:p>
        </w:tc>
        <w:tc>
          <w:tcPr>
            <w:tcW w:w="696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3A Chater Road, Central</w:t>
            </w:r>
          </w:p>
        </w:tc>
      </w:tr>
      <w:tr>
        <w:trPr>
          <w:trHeight w:val="216"/>
        </w:trPr>
        <w:tc>
          <w:tcPr>
            <w:tcW w:w="42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People’s Republic of China, 200051</w:t>
            </w:r>
          </w:p>
        </w:tc>
        <w:tc>
          <w:tcPr>
            <w:tcW w:w="696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34"/>
        </w:trPr>
        <w:tc>
          <w:tcPr>
            <w:tcW w:w="42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+86 186 8893 0014</w:t>
            </w:r>
          </w:p>
        </w:tc>
        <w:tc>
          <w:tcPr>
            <w:tcW w:w="69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+852 2533 3300</w:t>
            </w:r>
          </w:p>
        </w:tc>
      </w:tr>
      <w:tr>
        <w:trPr>
          <w:trHeight w:val="149"/>
        </w:trPr>
        <w:tc>
          <w:tcPr>
            <w:tcW w:w="4280" w:type="dxa"/>
            <w:vAlign w:val="bottom"/>
            <w:tcBorders>
              <w:bottom w:val="single" w:sz="8" w:color="auto"/>
            </w:tcBorders>
          </w:tcPr>
          <w:p>
            <w:pPr>
              <w:spacing w:after="0"/>
              <w:rPr>
                <w:sz w:val="12"/>
                <w:szCs w:val="12"/>
                <w:color w:val="auto"/>
              </w:rPr>
            </w:pPr>
          </w:p>
        </w:tc>
        <w:tc>
          <w:tcPr>
            <w:tcW w:w="6960" w:type="dxa"/>
            <w:vAlign w:val="bottom"/>
            <w:tcBorders>
              <w:bottom w:val="single" w:sz="8" w:color="auto"/>
            </w:tcBorders>
          </w:tcPr>
          <w:p>
            <w:pPr>
              <w:spacing w:after="0"/>
              <w:rPr>
                <w:sz w:val="12"/>
                <w:szCs w:val="12"/>
                <w:color w:val="auto"/>
              </w:rPr>
            </w:pPr>
          </w:p>
        </w:tc>
      </w:tr>
      <w:tr>
        <w:trPr>
          <w:trHeight w:val="28"/>
        </w:trPr>
        <w:tc>
          <w:tcPr>
            <w:tcW w:w="428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r>
      <w:tr>
        <w:trPr>
          <w:trHeight w:val="607"/>
        </w:trPr>
        <w:tc>
          <w:tcPr>
            <w:tcW w:w="42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jc w:val="both"/>
        <w:ind w:firstLine="8"/>
        <w:spacing w:after="0" w:line="266" w:lineRule="auto"/>
        <w:tabs>
          <w:tab w:leader="none" w:pos="1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by Part I to be contained in the Section 10(a) prospectus is omitted from this Registration Statement in accordance with Rule 428 under the Securities Act and the Note to Part I of Form S-8. The documents containing information specified in this Part I will be separately provided to the participants in the Plan covered by this Registration Statement, as specified by Rule 428(b)(1) under the Securities Act.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previously filed by the Registrant with the Commission are incorporated by reference herein:</w:t>
      </w:r>
    </w:p>
    <w:p>
      <w:pPr>
        <w:spacing w:after="0" w:line="225"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auto"/>
          </w:rPr>
          <w:t xml:space="preserve">The Registrant’s </w:t>
        </w:r>
        <w:r>
          <w:rPr>
            <w:rFonts w:ascii="Times New Roman" w:cs="Times New Roman" w:eastAsia="Times New Roman" w:hAnsi="Times New Roman"/>
            <w:sz w:val="18"/>
            <w:szCs w:val="18"/>
            <w:u w:val="single" w:color="auto"/>
            <w:color w:val="0000EE"/>
          </w:rPr>
          <w:t>prospectus filed with the Commission on April 18, 2025 pursuant to Rule 424(b)(4) under the Securities Act of 1933, as amended</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(the “Securities Act”) (Securities Act File No. 333-286081)</w:t>
        </w:r>
        <w:r>
          <w:rPr>
            <w:rFonts w:ascii="Times New Roman" w:cs="Times New Roman" w:eastAsia="Times New Roman" w:hAnsi="Times New Roman"/>
            <w:sz w:val="18"/>
            <w:szCs w:val="18"/>
            <w:color w:val="000000"/>
          </w:rPr>
          <w:t>; and</w:t>
        </w:r>
      </w:hyperlink>
    </w:p>
    <w:p>
      <w:pPr>
        <w:spacing w:after="0" w:line="161"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u w:val="single" w:color="auto"/>
          <w:color w:val="0000EE"/>
        </w:rPr>
      </w:pPr>
      <w:hyperlink r:id="rId15">
        <w:r>
          <w:rPr>
            <w:rFonts w:ascii="Times New Roman" w:cs="Times New Roman" w:eastAsia="Times New Roman" w:hAnsi="Times New Roman"/>
            <w:sz w:val="18"/>
            <w:szCs w:val="18"/>
            <w:u w:val="single" w:color="auto"/>
            <w:color w:val="0000EE"/>
          </w:rPr>
          <w:t>The description of the Registrant’s Class A ordinary shares contained in the Registrant’s registration statement on Form 8-A under the Exchange</w:t>
        </w:r>
      </w:hyperlink>
      <w:r>
        <w:rPr>
          <w:rFonts w:ascii="Times New Roman" w:cs="Times New Roman" w:eastAsia="Times New Roman" w:hAnsi="Times New Roman"/>
          <w:sz w:val="18"/>
          <w:szCs w:val="18"/>
          <w:u w:val="single" w:color="auto"/>
          <w:color w:val="0000EE"/>
        </w:rPr>
        <w:t xml:space="preserve"> </w:t>
      </w:r>
      <w:hyperlink r:id="rId15">
        <w:r>
          <w:rPr>
            <w:rFonts w:ascii="Times New Roman" w:cs="Times New Roman" w:eastAsia="Times New Roman" w:hAnsi="Times New Roman"/>
            <w:sz w:val="18"/>
            <w:szCs w:val="18"/>
            <w:u w:val="single" w:color="auto"/>
            <w:color w:val="0000EE"/>
          </w:rPr>
          <w:t>Act of 1934, as amended (the “Exchange Act”) filed on April 10, 2025, as modified by any amendment or report filed for the purpose of updating</w:t>
        </w:r>
      </w:hyperlink>
      <w:r>
        <w:rPr>
          <w:rFonts w:ascii="Times New Roman" w:cs="Times New Roman" w:eastAsia="Times New Roman" w:hAnsi="Times New Roman"/>
          <w:sz w:val="18"/>
          <w:szCs w:val="18"/>
          <w:u w:val="single" w:color="auto"/>
          <w:color w:val="0000EE"/>
        </w:rPr>
        <w:t xml:space="preserve"> </w:t>
      </w:r>
      <w:hyperlink r:id="rId15">
        <w:r>
          <w:rPr>
            <w:rFonts w:ascii="Times New Roman" w:cs="Times New Roman" w:eastAsia="Times New Roman" w:hAnsi="Times New Roman"/>
            <w:sz w:val="18"/>
            <w:szCs w:val="18"/>
            <w:u w:val="single" w:color="auto"/>
            <w:color w:val="0000EE"/>
          </w:rPr>
          <w:t>such description (Exchange Act File No. 001-42598).</w:t>
        </w:r>
      </w:hyperlink>
    </w:p>
    <w:p>
      <w:pPr>
        <w:spacing w:after="0" w:line="176" w:lineRule="exact"/>
        <w:rPr>
          <w:rFonts w:ascii="Times New Roman" w:cs="Times New Roman" w:eastAsia="Times New Roman" w:hAnsi="Times New Roman"/>
          <w:sz w:val="18"/>
          <w:szCs w:val="18"/>
          <w:u w:val="single" w:color="auto"/>
          <w:color w:val="0000EE"/>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or 15(d) of the Securities Exchange Act of 1934, as amended (the “Exchange Act”),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 Any statement in a document incorporated or deemed to be incorporated by reference in this registration statement will be deemed to be modified or superseded to the extent that a statement contained in this registration statement or in any other later filed document that also is or is deemed to be incorporated by reference modifies or supersedes such statement. Any such statement so modified or superseded will not be deemed, except as so modified or superseded, to be a part of this registration statement.</w:t>
      </w:r>
    </w:p>
    <w:p>
      <w:pPr>
        <w:spacing w:after="0" w:line="185"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u w:val="single" w:color="auto"/>
          <w:color w:val="0000EE"/>
        </w:rPr>
      </w:pPr>
    </w:p>
    <w:p>
      <w:pPr>
        <w:ind w:left="660"/>
        <w:spacing w:after="0"/>
        <w:rPr>
          <w:sz w:val="20"/>
          <w:szCs w:val="20"/>
          <w:color w:val="auto"/>
        </w:rPr>
      </w:pPr>
      <w:r>
        <w:rPr>
          <w:rFonts w:ascii="Times New Roman" w:cs="Times New Roman" w:eastAsia="Times New Roman" w:hAnsi="Times New Roman"/>
          <w:sz w:val="18"/>
          <w:szCs w:val="18"/>
          <w:color w:val="auto"/>
        </w:rPr>
        <w:t>See the Index to Exhibits attached hereto.</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40" w:type="dxa"/>
            <w:vAlign w:val="bottom"/>
            <w:gridSpan w:val="8"/>
          </w:tcPr>
          <w:p>
            <w:pPr>
              <w:ind w:left="11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7"/>
        </w:trPr>
        <w:tc>
          <w:tcPr>
            <w:tcW w:w="10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00" w:type="dxa"/>
            <w:vAlign w:val="bottom"/>
          </w:tcPr>
          <w:p>
            <w:pPr>
              <w:spacing w:after="0"/>
              <w:rPr>
                <w:sz w:val="20"/>
                <w:szCs w:val="20"/>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300" w:type="dxa"/>
            <w:vAlign w:val="bottom"/>
            <w:gridSpan w:val="7"/>
          </w:tcPr>
          <w:p>
            <w:pPr>
              <w:ind w:left="9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420" w:type="dxa"/>
            <w:vAlign w:val="bottom"/>
            <w:tcBorders>
              <w:top w:val="single" w:sz="8" w:color="auto"/>
            </w:tcBorders>
            <w:gridSpan w:val="3"/>
          </w:tcPr>
          <w:p>
            <w:pPr>
              <w:ind w:left="100"/>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780" w:type="dxa"/>
            <w:vAlign w:val="bottom"/>
            <w:tcBorders>
              <w:top w:val="single" w:sz="8" w:color="auto"/>
            </w:tcBorders>
            <w:gridSpan w:val="11"/>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Fourth Amended and Restated Memorandum and Articles of Association of the Registrant (incorporated herein by reference to</w:t>
              </w:r>
            </w:hyperlink>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Exhibit 3.2 from the Registrant’s registration statement on Form F-1 initially filed on March 25, 2025, as amended) (Securities Act File</w:t>
              </w:r>
            </w:hyperlink>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7">
              <w:r>
                <w:rPr>
                  <w:rFonts w:ascii="Times New Roman" w:cs="Times New Roman" w:eastAsia="Times New Roman" w:hAnsi="Times New Roman"/>
                  <w:sz w:val="18"/>
                  <w:szCs w:val="18"/>
                  <w:color w:val="0000EE"/>
                  <w:w w:val="98"/>
                </w:rPr>
                <w:t>No. 333-286081).</w:t>
              </w:r>
            </w:hyperlink>
          </w:p>
        </w:tc>
        <w:tc>
          <w:tcPr>
            <w:tcW w:w="8500" w:type="dxa"/>
            <w:vAlign w:val="bottom"/>
            <w:gridSpan w:val="9"/>
          </w:tcPr>
          <w:p>
            <w:pPr>
              <w:spacing w:after="0"/>
              <w:rPr>
                <w:sz w:val="17"/>
                <w:szCs w:val="17"/>
                <w:color w:val="auto"/>
              </w:rPr>
            </w:pPr>
          </w:p>
        </w:tc>
      </w:tr>
      <w:tr>
        <w:trPr>
          <w:trHeight w:val="466"/>
        </w:trPr>
        <w:tc>
          <w:tcPr>
            <w:tcW w:w="420" w:type="dxa"/>
            <w:vAlign w:val="bottom"/>
            <w:gridSpan w:val="3"/>
          </w:tcPr>
          <w:p>
            <w:pPr>
              <w:ind w:left="100"/>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80" w:type="dxa"/>
            <w:vAlign w:val="bottom"/>
            <w:gridSpan w:val="11"/>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Registrant’s Specimen Certificate for Class A ordinary Shares (incorporated herein by reference to Exhibit 4.2 from the Registrant’s</w:t>
              </w:r>
            </w:hyperlink>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registration statement on Form F-1 initially filed on March 25, 2025, as amended) (Securities Act File No. 333-286081).</w:t>
              </w:r>
            </w:hyperlink>
          </w:p>
        </w:tc>
      </w:tr>
      <w:tr>
        <w:trPr>
          <w:trHeight w:val="20"/>
        </w:trPr>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420" w:type="dxa"/>
            <w:vAlign w:val="bottom"/>
            <w:gridSpan w:val="3"/>
          </w:tcPr>
          <w:p>
            <w:pPr>
              <w:ind w:left="100"/>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80" w:type="dxa"/>
            <w:vAlign w:val="bottom"/>
            <w:gridSpan w:val="11"/>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Form of Deposit Agreement between the Registrant, the depositary and holders of the American Depositary Shares (incorporated</w:t>
              </w:r>
            </w:hyperlink>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herein by reference to Exhibit 4.3 from the Registrant’s registration statement on Form F-1 initially filed on March 25, 2025, as</w:t>
              </w:r>
            </w:hyperlink>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amended) (Securities Act File No. 333-286081).</w:t>
              </w:r>
            </w:hyperlink>
          </w:p>
        </w:tc>
        <w:tc>
          <w:tcPr>
            <w:tcW w:w="6300" w:type="dxa"/>
            <w:vAlign w:val="bottom"/>
            <w:gridSpan w:val="7"/>
          </w:tcPr>
          <w:p>
            <w:pPr>
              <w:spacing w:after="0"/>
              <w:rPr>
                <w:sz w:val="17"/>
                <w:szCs w:val="17"/>
                <w:color w:val="auto"/>
              </w:rPr>
            </w:pPr>
          </w:p>
        </w:tc>
      </w:tr>
      <w:tr>
        <w:trPr>
          <w:trHeight w:val="466"/>
        </w:trPr>
        <w:tc>
          <w:tcPr>
            <w:tcW w:w="4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Opinion of Maples and Calder (Hong Kong) LLP, Cayman Islands counsel to the Registrant, regarding the legality of the Class A</w:t>
            </w:r>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ordinary shares being registered.</w:t>
            </w:r>
          </w:p>
        </w:tc>
      </w:tr>
      <w:tr>
        <w:trPr>
          <w:trHeight w:val="20"/>
        </w:trPr>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00" w:type="dxa"/>
            <w:vAlign w:val="bottom"/>
          </w:tcPr>
          <w:p>
            <w:pPr>
              <w:spacing w:after="0"/>
              <w:rPr>
                <w:sz w:val="24"/>
                <w:szCs w:val="24"/>
                <w:color w:val="auto"/>
              </w:rPr>
            </w:pPr>
          </w:p>
        </w:tc>
        <w:tc>
          <w:tcPr>
            <w:tcW w:w="320" w:type="dxa"/>
            <w:vAlign w:val="bottom"/>
            <w:gridSpan w:val="2"/>
          </w:tcPr>
          <w:p>
            <w:pPr>
              <w:spacing w:after="0"/>
              <w:rPr>
                <w:rFonts w:ascii="Times New Roman" w:cs="Times New Roman" w:eastAsia="Times New Roman" w:hAnsi="Times New Roman"/>
                <w:sz w:val="18"/>
                <w:szCs w:val="18"/>
                <w:color w:val="0000EE"/>
                <w:w w:val="95"/>
              </w:rPr>
            </w:pPr>
            <w:hyperlink r:id="rId20">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80" w:type="dxa"/>
            <w:vAlign w:val="bottom"/>
            <w:gridSpan w:val="11"/>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Public Company Share Incentive Plan (incorporated herein by reference to Exhibit 10.1 from the Registrant’s registration statement on</w:t>
              </w:r>
            </w:hyperlink>
          </w:p>
        </w:tc>
      </w:tr>
      <w:tr>
        <w:trPr>
          <w:trHeight w:val="196"/>
        </w:trPr>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Form F-1 initially filed on March 25, 2025, as amended) (Securities Act File No. 333-286081).</w:t>
              </w:r>
            </w:hyperlink>
          </w:p>
        </w:tc>
        <w:tc>
          <w:tcPr>
            <w:tcW w:w="20" w:type="dxa"/>
            <w:vAlign w:val="bottom"/>
          </w:tcPr>
          <w:p>
            <w:pPr>
              <w:spacing w:after="0"/>
              <w:rPr>
                <w:sz w:val="17"/>
                <w:szCs w:val="17"/>
                <w:color w:val="auto"/>
              </w:rPr>
            </w:pPr>
          </w:p>
        </w:tc>
      </w:tr>
      <w:tr>
        <w:trPr>
          <w:trHeight w:val="466"/>
        </w:trPr>
        <w:tc>
          <w:tcPr>
            <w:tcW w:w="100" w:type="dxa"/>
            <w:vAlign w:val="bottom"/>
          </w:tcPr>
          <w:p>
            <w:pPr>
              <w:spacing w:after="0"/>
              <w:rPr>
                <w:sz w:val="24"/>
                <w:szCs w:val="24"/>
                <w:color w:val="auto"/>
              </w:rPr>
            </w:pPr>
          </w:p>
        </w:tc>
        <w:tc>
          <w:tcPr>
            <w:tcW w:w="4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1*</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KPMG Huazhen LLP, Independent Registered Public Accounting Firm</w:t>
            </w:r>
          </w:p>
        </w:tc>
        <w:tc>
          <w:tcPr>
            <w:tcW w:w="880" w:type="dxa"/>
            <w:vAlign w:val="bottom"/>
            <w:tcBorders>
              <w:top w:val="single" w:sz="8" w:color="0000EE"/>
            </w:tcBorders>
          </w:tcPr>
          <w:p>
            <w:pPr>
              <w:spacing w:after="0"/>
              <w:rPr>
                <w:sz w:val="24"/>
                <w:szCs w:val="24"/>
                <w:color w:val="auto"/>
              </w:rPr>
            </w:pPr>
          </w:p>
        </w:tc>
        <w:tc>
          <w:tcPr>
            <w:tcW w:w="2940" w:type="dxa"/>
            <w:vAlign w:val="bottom"/>
            <w:gridSpan w:val="3"/>
          </w:tcPr>
          <w:p>
            <w:pPr>
              <w:spacing w:after="0"/>
              <w:rPr>
                <w:sz w:val="24"/>
                <w:szCs w:val="24"/>
                <w:color w:val="auto"/>
              </w:rPr>
            </w:pPr>
          </w:p>
        </w:tc>
      </w:tr>
      <w:tr>
        <w:trPr>
          <w:trHeight w:val="466"/>
        </w:trPr>
        <w:tc>
          <w:tcPr>
            <w:tcW w:w="100" w:type="dxa"/>
            <w:vAlign w:val="bottom"/>
          </w:tcPr>
          <w:p>
            <w:pPr>
              <w:spacing w:after="0"/>
              <w:rPr>
                <w:sz w:val="24"/>
                <w:szCs w:val="24"/>
                <w:color w:val="auto"/>
              </w:rPr>
            </w:pPr>
          </w:p>
        </w:tc>
        <w:tc>
          <w:tcPr>
            <w:tcW w:w="4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2*</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Maples and Calder (Hong Kong) LLP (included in Exhibit 5.1)</w:t>
            </w:r>
          </w:p>
        </w:tc>
        <w:tc>
          <w:tcPr>
            <w:tcW w:w="4400" w:type="dxa"/>
            <w:vAlign w:val="bottom"/>
            <w:gridSpan w:val="6"/>
          </w:tcPr>
          <w:p>
            <w:pPr>
              <w:spacing w:after="0"/>
              <w:rPr>
                <w:sz w:val="24"/>
                <w:szCs w:val="24"/>
                <w:color w:val="auto"/>
              </w:rPr>
            </w:pPr>
          </w:p>
        </w:tc>
      </w:tr>
      <w:tr>
        <w:trPr>
          <w:trHeight w:val="466"/>
        </w:trPr>
        <w:tc>
          <w:tcPr>
            <w:tcW w:w="100" w:type="dxa"/>
            <w:vAlign w:val="bottom"/>
          </w:tcPr>
          <w:p>
            <w:pPr>
              <w:spacing w:after="0"/>
              <w:rPr>
                <w:sz w:val="24"/>
                <w:szCs w:val="24"/>
                <w:color w:val="auto"/>
              </w:rPr>
            </w:pPr>
          </w:p>
        </w:tc>
        <w:tc>
          <w:tcPr>
            <w:tcW w:w="4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3"/>
              </w:rPr>
              <w:t>24.</w:t>
            </w:r>
            <w:r>
              <w:rPr>
                <w:rFonts w:ascii="Times New Roman" w:cs="Times New Roman" w:eastAsia="Times New Roman" w:hAnsi="Times New Roman"/>
                <w:sz w:val="18"/>
                <w:szCs w:val="18"/>
                <w:u w:val="single" w:color="auto"/>
                <w:color w:val="0000EE"/>
                <w:w w:val="93"/>
              </w:rPr>
              <w:t>1*</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 of this Registration Statement)</w:t>
            </w:r>
          </w:p>
        </w:tc>
      </w:tr>
      <w:tr>
        <w:trPr>
          <w:trHeight w:val="466"/>
        </w:trPr>
        <w:tc>
          <w:tcPr>
            <w:tcW w:w="100" w:type="dxa"/>
            <w:vAlign w:val="bottom"/>
          </w:tcPr>
          <w:p>
            <w:pPr>
              <w:spacing w:after="0"/>
              <w:rPr>
                <w:sz w:val="24"/>
                <w:szCs w:val="24"/>
                <w:color w:val="auto"/>
              </w:rPr>
            </w:pPr>
          </w:p>
        </w:tc>
        <w:tc>
          <w:tcPr>
            <w:tcW w:w="3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4"/>
              </w:rPr>
              <w:t>107*</w:t>
            </w:r>
          </w:p>
        </w:tc>
        <w:tc>
          <w:tcPr>
            <w:tcW w:w="4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4440" w:type="dxa"/>
            <w:vAlign w:val="bottom"/>
            <w:tcBorders>
              <w:top w:val="single" w:sz="8" w:color="0000EE"/>
            </w:tcBorders>
            <w:gridSpan w:val="5"/>
          </w:tcPr>
          <w:p>
            <w:pPr>
              <w:spacing w:after="0"/>
              <w:rPr>
                <w:sz w:val="24"/>
                <w:szCs w:val="24"/>
                <w:color w:val="auto"/>
              </w:rPr>
            </w:pPr>
          </w:p>
        </w:tc>
        <w:tc>
          <w:tcPr>
            <w:tcW w:w="4160" w:type="dxa"/>
            <w:vAlign w:val="bottom"/>
            <w:gridSpan w:val="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Shanghai, China, on May 16, 2025.</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Junjie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Junjie Zhang as his true and lawful attorney-in-fact and agent with the full power of substitution, for him in any and all capacities, to sign any and all amendments to this Registration Statement (including post-effective amendments to this Registration Statement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her substitutes, may lawfully do or cause to be done by virtue hereof.</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on behalf of the Registrant in the capacities and on May 16,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07"/>
        </w:trPr>
        <w:tc>
          <w:tcPr>
            <w:tcW w:w="4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4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468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rPr>
              <w:t>/s/ Junjie Zhang</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28"/>
        </w:trPr>
        <w:tc>
          <w:tcPr>
            <w:tcW w:w="46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Junjie Zhang</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68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/s/ Dengfeng Yin</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Chief Operating Officer</w:t>
            </w:r>
          </w:p>
        </w:tc>
      </w:tr>
      <w:tr>
        <w:trPr>
          <w:trHeight w:val="228"/>
        </w:trPr>
        <w:tc>
          <w:tcPr>
            <w:tcW w:w="46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Dengfeng Yin</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68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/s/ Mian Lu</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Director, Vice President</w:t>
            </w:r>
          </w:p>
        </w:tc>
      </w:tr>
      <w:tr>
        <w:trPr>
          <w:trHeight w:val="228"/>
        </w:trPr>
        <w:tc>
          <w:tcPr>
            <w:tcW w:w="46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Mian Lu</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68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8"/>
              </w:rPr>
              <w:t>/s/ Yong Zhang</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6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Yong Zhang</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68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8"/>
              </w:rPr>
              <w:t>/s/ Yifan Li</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8"/>
        </w:trPr>
        <w:tc>
          <w:tcPr>
            <w:tcW w:w="46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Yifan Li</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68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/s/ Taisu Zhang</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8"/>
        </w:trPr>
        <w:tc>
          <w:tcPr>
            <w:tcW w:w="46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Taisu Zhang</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68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6"/>
              </w:rPr>
              <w:t>/s/ Yi Wang</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8"/>
        </w:trPr>
        <w:tc>
          <w:tcPr>
            <w:tcW w:w="46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Yi Wang</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68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9"/>
              </w:rPr>
              <w:t>/s/ Hongfei Huang (Aaron)</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8"/>
        </w:trPr>
        <w:tc>
          <w:tcPr>
            <w:tcW w:w="46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Hongfei Huang (Aaron)</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630"/>
        </w:trPr>
        <w:tc>
          <w:tcPr>
            <w:tcW w:w="46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Chagee Holdings Limited, has signed this registration statement or amendment thereto in New York on May 16, 2025.</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A. De Vries</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Colleen A. De Vries</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on behalf of Cogency Global Inc.</w:t>
            </w:r>
          </w:p>
        </w:tc>
      </w:tr>
      <w:tr>
        <w:trPr>
          <w:trHeight w:val="648"/>
        </w:trPr>
        <w:tc>
          <w:tcPr>
            <w:tcW w:w="6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14425" cy="1080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1442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Our ref</w:t>
      </w:r>
      <w:r>
        <w:rPr>
          <w:sz w:val="20"/>
          <w:szCs w:val="20"/>
          <w:color w:val="auto"/>
        </w:rPr>
        <w:tab/>
      </w:r>
      <w:r>
        <w:rPr>
          <w:rFonts w:ascii="Times New Roman" w:cs="Times New Roman" w:eastAsia="Times New Roman" w:hAnsi="Times New Roman"/>
          <w:sz w:val="17"/>
          <w:szCs w:val="17"/>
          <w:color w:val="auto"/>
        </w:rPr>
        <w:t>YCU/818116-000002/32250852v2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Chagee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15/F, IFS Building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Xing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Jinjiang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Chengdu, Sichuan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May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Chagee Holdings Limited (the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acted as Cayman Islands legal counsel to the Company in connection with a registration statement on Form S-8 to be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16 May 2025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relating to the registration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28,061,349 Class A ordinary shares, par value US$0.0001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by the Company pursuant to the Company's Public Company Share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purposes of giving this opinion, we have examined copies of the Registration Statement and the Plan. We have also reviewed copies of the amended and restated memorandum and articles of association of the Company adopted by special resolution passed on 20 March 2025 and effective immediately prior to the completion of the Company's initial public offering of American Depositary Shares representing its Class A Ordinary Shares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 and the written resolutions of the board of directors of the Company dated 29 February 2024 and 20 March 2025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and subject to, the assumptions and qualifications set out below, and having regard to such legal considerations as we deem relevant, we are of the opinion that:</w:t>
      </w:r>
    </w:p>
    <w:p>
      <w:pPr>
        <w:spacing w:after="0" w:line="162"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by the Company and registered under the Registration Statement have been duly and validly authorised.</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issued and paid for in accordance with the terms of the Plan and in accordance with the Resolutions, and appropriate entries are made in the register of members (shareholders) of the Company, the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1760220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4963160" cy="1183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4963160" cy="118300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In this opinion letter, the phrase "non-assessable" means, with respect to the issuance of Shares, that a shareholder shall not, in respect of the relevant Shares,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These opinions are subject to the qualification that under the Companies Act (As Revised) of the Cayman Islands, the register of members of a Cayman Islands company is by statute regarded as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any matters which the Companies Act (As Revised)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opinions are given only as to, and based on, circumstances and matters of fact existing and known to us on the date of this opinion letter. These opinions only relate to the laws of the Cayman Islands which are in force on the date of this opinion letter. We express no opinion as to the meaning, validity or effect of any references to foreign (i.e. non-Cayman Islands) statutes, rules, regulations, codes, judicial authority or any other promulgations.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also relied upon the assumptions, which we have not independently verified, that (a) all signatures, initials and seals are genuine, (b) copies of documents, conformed copies or drafts of documents provided to us are true and complete copies of, or in the final forms of, the originals, (c) where a document has been provided to us in draft or undated form, it will be duly executed, dated and unconditionally delivered in the same form as the last version provided to us, (d) the Memorandum and Articles remain in full force and effect and are unamended, (e) the Resolutions were duly passed in the manner prescribed in the memorandum and articles of association of the Company effective at the relevant time (including, without limitation, with respect to the disclosure of interests (if any) by directors of the Company) and have not been amended, varied or revoked in any respect, (f) there is nothing under any law (other than the laws of the Cayman Islands) which would or might affect the opinions set out above, (g) there is nothing contained in the minute book or corporate records of the Company (which we have not inspected) which would or might affect the opinions set out above, and (h) upon the issue of any Shares, the consideration received by the Company shall be not less than the par value of such Shares.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all references to us in the Registration Statement and any amendments thereto. In giving such consent, we do not consider that we are “experts” within the meaning of such term as used in the Securities Act, or the rules and regulations of the Commission issued thereunder, with respect to any part of the Registration Statement, including this opinion as an exhibit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11, 2025, with respect to the consolidated financial statements of Chagee Holdings Limited,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00" w:type="dxa"/>
            <w:vAlign w:val="bottom"/>
          </w:tcPr>
          <w:p>
            <w:pPr>
              <w:spacing w:after="0"/>
              <w:rPr>
                <w:sz w:val="13"/>
                <w:szCs w:val="13"/>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Security Class</w:t>
            </w:r>
          </w:p>
        </w:tc>
        <w:tc>
          <w:tcPr>
            <w:tcW w:w="1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Class A ordinary</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7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Fees to Be</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shares, par value</w:t>
            </w: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Rule 457(c)</w:t>
            </w:r>
          </w:p>
        </w:tc>
        <w:tc>
          <w:tcPr>
            <w:tcW w:w="0" w:type="dxa"/>
            <w:vAlign w:val="bottom"/>
          </w:tcPr>
          <w:p>
            <w:pPr>
              <w:spacing w:after="0"/>
              <w:rPr>
                <w:sz w:val="1"/>
                <w:szCs w:val="1"/>
                <w:color w:val="auto"/>
              </w:rPr>
            </w:pPr>
          </w:p>
        </w:tc>
      </w:tr>
      <w:tr>
        <w:trPr>
          <w:trHeight w:val="148"/>
        </w:trPr>
        <w:tc>
          <w:tcPr>
            <w:tcW w:w="760" w:type="dxa"/>
            <w:vAlign w:val="bottom"/>
            <w:vMerge w:val="continue"/>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$0.0001 per</w:t>
            </w: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Rule</w:t>
            </w:r>
          </w:p>
        </w:tc>
        <w:tc>
          <w:tcPr>
            <w:tcW w:w="0" w:type="dxa"/>
            <w:vAlign w:val="bottom"/>
          </w:tcPr>
          <w:p>
            <w:pPr>
              <w:spacing w:after="0"/>
              <w:rPr>
                <w:sz w:val="1"/>
                <w:szCs w:val="1"/>
                <w:color w:val="auto"/>
              </w:rPr>
            </w:pPr>
          </w:p>
        </w:tc>
      </w:tr>
      <w:tr>
        <w:trPr>
          <w:trHeight w:val="153"/>
        </w:trPr>
        <w:tc>
          <w:tcPr>
            <w:tcW w:w="760" w:type="dxa"/>
            <w:vAlign w:val="bottom"/>
          </w:tcPr>
          <w:p>
            <w:pPr>
              <w:jc w:val="center"/>
              <w:ind w:right="68"/>
              <w:spacing w:after="0" w:line="153" w:lineRule="exact"/>
              <w:rPr>
                <w:sz w:val="20"/>
                <w:szCs w:val="20"/>
                <w:color w:val="auto"/>
              </w:rPr>
            </w:pPr>
            <w:r>
              <w:rPr>
                <w:rFonts w:ascii="Times New Roman" w:cs="Times New Roman" w:eastAsia="Times New Roman" w:hAnsi="Times New Roman"/>
                <w:sz w:val="14"/>
                <w:szCs w:val="14"/>
                <w:color w:val="auto"/>
              </w:rPr>
              <w:t>Paid</w:t>
            </w: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auto"/>
              </w:rPr>
              <w:t>share</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8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457(h)</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Class A ordinary</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Fees to Be</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shares, par value</w:t>
            </w: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Rule 457(c)</w:t>
            </w:r>
          </w:p>
        </w:tc>
        <w:tc>
          <w:tcPr>
            <w:tcW w:w="0" w:type="dxa"/>
            <w:vAlign w:val="bottom"/>
          </w:tcPr>
          <w:p>
            <w:pPr>
              <w:spacing w:after="0"/>
              <w:rPr>
                <w:sz w:val="1"/>
                <w:szCs w:val="1"/>
                <w:color w:val="auto"/>
              </w:rPr>
            </w:pPr>
          </w:p>
        </w:tc>
      </w:tr>
      <w:tr>
        <w:trPr>
          <w:trHeight w:val="148"/>
        </w:trPr>
        <w:tc>
          <w:tcPr>
            <w:tcW w:w="760" w:type="dxa"/>
            <w:vAlign w:val="bottom"/>
            <w:vMerge w:val="continue"/>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$0.0001 per</w:t>
            </w: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Rule</w:t>
            </w:r>
          </w:p>
        </w:tc>
        <w:tc>
          <w:tcPr>
            <w:tcW w:w="0" w:type="dxa"/>
            <w:vAlign w:val="bottom"/>
          </w:tcPr>
          <w:p>
            <w:pPr>
              <w:spacing w:after="0"/>
              <w:rPr>
                <w:sz w:val="1"/>
                <w:szCs w:val="1"/>
                <w:color w:val="auto"/>
              </w:rPr>
            </w:pPr>
          </w:p>
        </w:tc>
      </w:tr>
      <w:tr>
        <w:trPr>
          <w:trHeight w:val="169"/>
        </w:trPr>
        <w:tc>
          <w:tcPr>
            <w:tcW w:w="7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Paid</w:t>
            </w: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2"/>
                <w:szCs w:val="12"/>
                <w:color w:val="auto"/>
              </w:rPr>
              <w:t>share</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457(h)</w:t>
            </w:r>
          </w:p>
        </w:tc>
        <w:tc>
          <w:tcPr>
            <w:tcW w:w="0" w:type="dxa"/>
            <w:vAlign w:val="bottom"/>
          </w:tcPr>
          <w:p>
            <w:pPr>
              <w:spacing w:after="0"/>
              <w:rPr>
                <w:sz w:val="1"/>
                <w:szCs w:val="1"/>
                <w:color w:val="auto"/>
              </w:rPr>
            </w:pPr>
          </w:p>
        </w:tc>
      </w:tr>
    </w:tbl>
    <w:p>
      <w:pPr>
        <w:spacing w:after="0" w:line="221" w:lineRule="auto"/>
        <w:rPr>
          <w:sz w:val="20"/>
          <w:szCs w:val="20"/>
          <w:color w:val="auto"/>
        </w:rPr>
      </w:pPr>
      <w:r>
        <w:rPr>
          <w:rFonts w:ascii="Times New Roman" w:cs="Times New Roman" w:eastAsia="Times New Roman" w:hAnsi="Times New Roman"/>
          <w:sz w:val="14"/>
          <w:szCs w:val="14"/>
          <w:b w:val="1"/>
          <w:bCs w:val="1"/>
          <w:color w:val="auto"/>
        </w:rPr>
        <w:t>Total Offering Amounts</w:t>
      </w:r>
    </w:p>
    <w:p>
      <w:pPr>
        <w:spacing w:after="0" w:line="221" w:lineRule="auto"/>
        <w:rPr>
          <w:sz w:val="20"/>
          <w:szCs w:val="20"/>
          <w:color w:val="auto"/>
        </w:rPr>
      </w:pPr>
      <w:r>
        <w:rPr>
          <w:rFonts w:ascii="Times New Roman" w:cs="Times New Roman" w:eastAsia="Times New Roman" w:hAnsi="Times New Roman"/>
          <w:sz w:val="14"/>
          <w:szCs w:val="14"/>
          <w:b w:val="1"/>
          <w:bCs w:val="1"/>
          <w:color w:val="auto"/>
        </w:rPr>
        <w:t>Total Fee Offsets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Fee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4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46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20" w:type="dxa"/>
            <w:vAlign w:val="bottom"/>
            <w:gridSpan w:val="2"/>
            <w:vMerge w:val="continue"/>
          </w:tcPr>
          <w:p>
            <w:pPr>
              <w:spacing w:after="0"/>
              <w:rPr>
                <w:sz w:val="12"/>
                <w:szCs w:val="12"/>
                <w:color w:val="auto"/>
              </w:rPr>
            </w:pPr>
          </w:p>
        </w:tc>
        <w:tc>
          <w:tcPr>
            <w:tcW w:w="9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460" w:type="dxa"/>
            <w:vAlign w:val="bottom"/>
            <w:gridSpan w:val="2"/>
          </w:tcPr>
          <w:p>
            <w:pPr>
              <w:jc w:val="right"/>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880" w:type="dxa"/>
            <w:vAlign w:val="bottom"/>
          </w:tcPr>
          <w:p>
            <w:pPr>
              <w:jc w:val="right"/>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6"/>
        </w:trPr>
        <w:tc>
          <w:tcPr>
            <w:tcW w:w="112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Registered</w:t>
            </w:r>
            <w:r>
              <w:rPr>
                <w:rFonts w:ascii="Times New Roman" w:cs="Times New Roman" w:eastAsia="Times New Roman" w:hAnsi="Times New Roman"/>
                <w:sz w:val="20"/>
                <w:szCs w:val="20"/>
                <w:b w:val="1"/>
                <w:bCs w:val="1"/>
                <w:color w:val="auto"/>
                <w:vertAlign w:val="superscript"/>
              </w:rPr>
              <w:t>(2)</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743"/>
        </w:trPr>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10,932,281</w:t>
            </w:r>
            <w:r>
              <w:rPr>
                <w:rFonts w:ascii="Times New Roman" w:cs="Times New Roman" w:eastAsia="Times New Roman" w:hAnsi="Times New Roman"/>
                <w:sz w:val="23"/>
                <w:szCs w:val="23"/>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$2.3576</w:t>
            </w:r>
            <w:r>
              <w:rPr>
                <w:rFonts w:ascii="Times New Roman" w:cs="Times New Roman" w:eastAsia="Times New Roman" w:hAnsi="Times New Roman"/>
                <w:sz w:val="23"/>
                <w:szCs w:val="23"/>
                <w:color w:val="auto"/>
                <w:vertAlign w:val="superscript"/>
              </w:rPr>
              <w:t>(3)</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$25,773,945.69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0.00015310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$3,946.0</w:t>
            </w:r>
          </w:p>
        </w:tc>
        <w:tc>
          <w:tcPr>
            <w:tcW w:w="0" w:type="dxa"/>
            <w:vAlign w:val="bottom"/>
          </w:tcPr>
          <w:p>
            <w:pPr>
              <w:spacing w:after="0"/>
              <w:rPr>
                <w:sz w:val="1"/>
                <w:szCs w:val="1"/>
                <w:color w:val="auto"/>
              </w:rPr>
            </w:pPr>
          </w:p>
        </w:tc>
      </w:tr>
      <w:tr>
        <w:trPr>
          <w:trHeight w:val="497"/>
        </w:trPr>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17,129,068</w:t>
            </w:r>
            <w:r>
              <w:rPr>
                <w:rFonts w:ascii="Times New Roman" w:cs="Times New Roman" w:eastAsia="Times New Roman" w:hAnsi="Times New Roman"/>
                <w:sz w:val="23"/>
                <w:szCs w:val="23"/>
                <w:color w:val="auto"/>
                <w:vertAlign w:val="superscript"/>
              </w:rPr>
              <w:t>(4)</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$32.0</w:t>
            </w:r>
            <w:r>
              <w:rPr>
                <w:rFonts w:ascii="Times New Roman" w:cs="Times New Roman" w:eastAsia="Times New Roman" w:hAnsi="Times New Roman"/>
                <w:sz w:val="23"/>
                <w:szCs w:val="23"/>
                <w:color w:val="auto"/>
                <w:vertAlign w:val="superscript"/>
              </w:rPr>
              <w:t>(5)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$548,130,176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0.00015310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$83,918.73</w:t>
            </w:r>
          </w:p>
        </w:tc>
        <w:tc>
          <w:tcPr>
            <w:tcW w:w="0" w:type="dxa"/>
            <w:vAlign w:val="bottom"/>
          </w:tcPr>
          <w:p>
            <w:pPr>
              <w:spacing w:after="0"/>
              <w:rPr>
                <w:sz w:val="1"/>
                <w:szCs w:val="1"/>
                <w:color w:val="auto"/>
              </w:rPr>
            </w:pPr>
          </w:p>
        </w:tc>
      </w:tr>
      <w:tr>
        <w:trPr>
          <w:trHeight w:val="148"/>
        </w:trPr>
        <w:tc>
          <w:tcPr>
            <w:tcW w:w="1120" w:type="dxa"/>
            <w:vAlign w:val="bottom"/>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28,061,349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$573,904,121.69</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$87,864.73</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$87,864.73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20" w:space="100"/>
            <w:col w:w="5520"/>
          </w:cols>
          <w:pgMar w:left="320" w:top="333" w:right="339" w:bottom="1440" w:gutter="0" w:footer="0" w:header="0"/>
          <w:type w:val="continuous"/>
        </w:sectPr>
      </w:pPr>
    </w:p>
    <w:p>
      <w:pPr>
        <w:spacing w:after="0" w:line="8" w:lineRule="exact"/>
        <w:rPr>
          <w:sz w:val="20"/>
          <w:szCs w:val="20"/>
          <w:color w:val="auto"/>
        </w:rPr>
      </w:pPr>
    </w:p>
    <w:p>
      <w:pPr>
        <w:ind w:left="340" w:right="48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ordinary shares may be represented by American Depositary Shares (“ADSs”), each of which represents one Class A ordinary share of the registrant (“Shares”). ADSs issuable upon deposit of the Class A ordinary shares registered hereby have been registered pursuant to a separate registration statement on Form F-6 (File No. 333-286358).</w:t>
      </w:r>
    </w:p>
    <w:p>
      <w:pPr>
        <w:spacing w:after="0" w:line="40"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this registration statement also covers such additional Shares or ADSs of the registrant as may hereafter be offered or issued by reason of any share or ADS dividend, share or ADS split, bonus issue, recapitalization or similar transaction effected without the registrant’s receipt of consideration which would increase the number of outstanding Shares or ADSs.</w:t>
      </w:r>
    </w:p>
    <w:p>
      <w:pPr>
        <w:spacing w:after="0" w:line="40" w:lineRule="exact"/>
        <w:rPr>
          <w:rFonts w:ascii="Times New Roman" w:cs="Times New Roman" w:eastAsia="Times New Roman" w:hAnsi="Times New Roman"/>
          <w:sz w:val="18"/>
          <w:szCs w:val="18"/>
          <w:color w:val="auto"/>
        </w:rPr>
      </w:pPr>
    </w:p>
    <w:p>
      <w:pPr>
        <w:ind w:left="340" w:right="180" w:hanging="332"/>
        <w:spacing w:after="0" w:line="257"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upon the exercise of the options previously granted under the Public Company Share Incentive Plan (the “Plan”) as of the date of this registration statement. The maximum offering price per share represents the weighted average exercise price of the options which have been already granted and are outstanding under the Plan, which is estimated solely for the purposes of calculating the registration fee under</w:t>
      </w:r>
    </w:p>
    <w:p>
      <w:pPr>
        <w:spacing w:after="0" w:line="1" w:lineRule="exact"/>
        <w:rPr>
          <w:rFonts w:ascii="Times New Roman" w:cs="Times New Roman" w:eastAsia="Times New Roman" w:hAnsi="Times New Roman"/>
          <w:sz w:val="18"/>
          <w:szCs w:val="18"/>
          <w:color w:val="auto"/>
        </w:rPr>
      </w:pPr>
    </w:p>
    <w:p>
      <w:pPr>
        <w:jc w:val="both"/>
        <w:ind w:left="340" w:right="2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Rule 457(h) under the Securities Act. To the extent outstanding awards under the Plan terminate by expiration, forfeiture, cancellation or otherwise without the issuance of such shares of Class A ordinary shares, the shares subject to such awards will, instead, be available for grant under the Plan.</w:t>
      </w:r>
    </w:p>
    <w:p>
      <w:pPr>
        <w:spacing w:after="0" w:line="22" w:lineRule="exact"/>
        <w:rPr>
          <w:rFonts w:ascii="Times New Roman" w:cs="Times New Roman" w:eastAsia="Times New Roman" w:hAnsi="Times New Roman"/>
          <w:sz w:val="18"/>
          <w:szCs w:val="18"/>
          <w:color w:val="auto"/>
        </w:rPr>
      </w:pPr>
    </w:p>
    <w:p>
      <w:pPr>
        <w:ind w:left="340" w:right="20" w:hanging="332"/>
        <w:spacing w:after="0" w:line="253"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17,129,068 additional Shares reserved for future award grants under the Plan. The initial maximum aggregate number of Shares that may be issued pursuant to all awards (including Incentive Share Options as defined under the Plan) is 28,061,349 Shares (such number, as may be increased from time to time according to below, the “Share Limit”). Effective from and after the completion of our initial public offering on April 21, 2025, such Share Limit will be increased automatically on January 1 of a calendar year, if and when the Shares reserved as of December 31 of the immediately preceding calendar year account for less than 1% of the total then-issued and outstanding Shares on an as-converted basis on the same date, as a result of which increase the Share Limit immediately after each such increase shall equal 5% of the then issued and outstanding Shares on an as-converted basis on December 31 of the immediately preceding calendar year. For the sake of clarification, the Share Limit as of the date of this Registration Statement is 28,061,349 Shares. Notwithstanding the foregoing, to the extent any awards granted pursuant to the Registrant’s Plan terminates, expires, lapses or forfeited for any reason, Shares subject to such awards shall also become available to the grant of an award pursuant to the Plan. To the extent that the increased Share Limit exceeds the number of Shares registered on this registration statement, the Registrant will file a new registration statement to register the additional Shares.</w:t>
      </w:r>
    </w:p>
    <w:p>
      <w:pPr>
        <w:spacing w:after="0" w:line="56"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share, which is estimated solely for the purposes of calculating the registration fee under Rule 457(h) and Rule 457(c) under the Securities Act, is based on US$32.0 per ADS, the average of the high and low prices for the Registrant’s ADSs as quoted on the Nasdaq Global Select Market on May 9, 2025 and adjusted for the Share-to-ADS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jpeg"/><Relationship Id="rId26" Type="http://schemas.openxmlformats.org/officeDocument/2006/relationships/image" Target="media/image13.png"/><Relationship Id="rId27" Type="http://schemas.openxmlformats.org/officeDocument/2006/relationships/image" Target="media/image14.jpe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14" Type="http://schemas.openxmlformats.org/officeDocument/2006/relationships/hyperlink" Target="https://www.sec.gov/Archives/edgar/data/2013649/000110465925036228/tm246985-42_424b4.htm" TargetMode="External"/><Relationship Id="rId15" Type="http://schemas.openxmlformats.org/officeDocument/2006/relationships/hyperlink" Target="https://www.sec.gov/Archives/edgar/data/2013649/000110465925033669/tm246985d32_8a12b.htm" TargetMode="External"/><Relationship Id="rId17" Type="http://schemas.openxmlformats.org/officeDocument/2006/relationships/hyperlink" Target="https://www.sec.gov/Archives/edgar/data/2013649/000110465925027648/tm246985d24_ex3-2.htm" TargetMode="External"/><Relationship Id="rId18" Type="http://schemas.openxmlformats.org/officeDocument/2006/relationships/hyperlink" Target="https://www.sec.gov/Archives/edgar/data/2013649/000110465925027648/tm246985d24_ex4-2.htm" TargetMode="External"/><Relationship Id="rId19" Type="http://schemas.openxmlformats.org/officeDocument/2006/relationships/hyperlink" Target="https://www.sec.gov/Archives/edgar/data/2013649/000110465925027648/tm246985d24_ex4-3.htm" TargetMode="External"/><Relationship Id="rId20" Type="http://schemas.openxmlformats.org/officeDocument/2006/relationships/hyperlink" Target="https://www.sec.gov/Archives/edgar/data/2013649/000110465925027648/tm246985d24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2025-05-16T07:14:53Z</dcterms:created>
  <dcterms:modified xsi:type="dcterms:W3CDTF">2025-05-16T07:14:53Z</dcterms:modified>
</cp:coreProperties>
</file>