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808"/>
        <w:gridCol w:w="3332"/>
        <w:gridCol w:w="3065"/>
      </w:tblGrid>
      <w:tr>
        <w:trPr/>
        <w:tc>
          <w:tcPr>
            <w:tcW w:w="380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pPr>
                  <w:hyperlink r:id="rId4">
                    <w:r>
                      <w:rPr>
                        <w:rStyle w:val="InternetLink"/>
                      </w:rPr>
                      <w:t>HU WEI JEN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B, HONGQIAO LIANHE BUILDING</w:t>
                  </w:r>
                </w:p>
              </w:tc>
            </w:tr>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99 KAIHONG ROAD, CHANGNING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3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33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Chagee Holdings Ltd.</w:t>
              </w:r>
            </w:hyperlink>
            <w:r>
              <w:rPr/>
              <w:t xml:space="preserve"> [ </w:t>
            </w:r>
            <w:r>
              <w:rPr>
                <w:rFonts w:ascii="Times;serif" w:hAnsi="Times;serif"/>
                <w:color w:val="0000FF"/>
                <w:sz w:val="24"/>
                <w:shd w:fill="FFFFFF" w:val="clear"/>
              </w:rPr>
              <w:t>CHA</w:t>
            </w:r>
            <w:r>
              <w:rPr/>
              <w:t xml:space="preserve"> ] </w:t>
              <w:br/>
            </w:r>
            <w:r>
              <w:rPr>
                <w:rFonts w:ascii="arial;helvetica;sans-serif" w:hAnsi="arial;helvetica;sans-serif"/>
                <w:sz w:val="20"/>
              </w:rPr>
              <w:t>Foreign Trading Symbol</w:t>
            </w:r>
          </w:p>
        </w:tc>
        <w:tc>
          <w:tcPr>
            <w:tcW w:w="306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1"/>
              <w:gridCol w:w="441"/>
              <w:gridCol w:w="1032"/>
            </w:tblGrid>
            <w:tr>
              <w:trPr/>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5"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8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3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80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3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5"/>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3"/>
        <w:gridCol w:w="901"/>
        <w:gridCol w:w="771"/>
        <w:gridCol w:w="599"/>
        <w:gridCol w:w="350"/>
        <w:gridCol w:w="934"/>
        <w:gridCol w:w="459"/>
        <w:gridCol w:w="621"/>
        <w:gridCol w:w="1170"/>
        <w:gridCol w:w="1003"/>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pursuant to the Chagee Holdings Limited Public Company Share Incentive Plan (the "Plan"). Subject to the terms of the Plan and the reporting person's continuous service through each vesting date, the RSUs vest in two equal installments on the first and second anniversaries of June 15, 2026, with 11,503 RSUs vest on June 15, 2027 and 11,503 RSUs vest on June 15, 2028. Each RSU represents a contingent right to receive one Class A ordinary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Wei Jen Hu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2695" TargetMode="External"/><Relationship Id="rId5" Type="http://schemas.openxmlformats.org/officeDocument/2006/relationships/hyperlink" Target="http://www.sec.gov/cgi-bin/browse-edgar?action=getcompany&amp;CIK=00020136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3528</Characters>
  <CharactersWithSpaces>4114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