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HUANG HONGFEI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1"/>
        <w:gridCol w:w="771"/>
        <w:gridCol w:w="599"/>
        <w:gridCol w:w="350"/>
        <w:gridCol w:w="934"/>
        <w:gridCol w:w="459"/>
        <w:gridCol w:w="621"/>
        <w:gridCol w:w="1170"/>
        <w:gridCol w:w="100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70,568</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and the reporting person's continuous service through each vesting date, the RSUs vest in two equal installments on the first and second anniversaries of June 15, 2026, with 16,104 RSUs vest on June 15, 2027 and 16,104 RSUs vest on June 15, 2028. Each RSU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38,360 RSUs reported as beneficially owned prior to this transaction, which were granted under a separate prior award and are unaffected by and not part of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Hongfei Huang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5424"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3716</Characters>
  <CharactersWithSpaces>4332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