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7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 Filed Pursuant to Rule 424(b)(4)​</w:t>
      </w:r>
    </w:p>
    <w:p>
      <w:pPr>
        <w:jc w:val="right"/>
        <w:spacing w:after="0" w:line="223" w:lineRule="auto"/>
        <w:rPr>
          <w:sz w:val="20"/>
          <w:szCs w:val="20"/>
          <w:color w:val="auto"/>
        </w:rPr>
      </w:pPr>
      <w:r>
        <w:rPr>
          <w:rFonts w:ascii="Times New Roman" w:cs="Times New Roman" w:eastAsia="Times New Roman" w:hAnsi="Times New Roman"/>
          <w:sz w:val="18"/>
          <w:szCs w:val="18"/>
          <w:b w:val="1"/>
          <w:bCs w:val="1"/>
          <w:color w:val="auto"/>
        </w:rPr>
        <w:t> Registration No. 333-286081​</w:t>
      </w:r>
    </w:p>
    <w:p>
      <w:pPr>
        <w:ind w:left="3320"/>
        <w:spacing w:after="0"/>
        <w:rPr>
          <w:sz w:val="20"/>
          <w:szCs w:val="20"/>
          <w:color w:val="auto"/>
        </w:rPr>
      </w:pPr>
      <w:r>
        <w:rPr>
          <w:rFonts w:ascii="Times New Roman" w:cs="Times New Roman" w:eastAsia="Times New Roman" w:hAnsi="Times New Roman"/>
          <w:sz w:val="25"/>
          <w:szCs w:val="25"/>
          <w:b w:val="1"/>
          <w:bCs w:val="1"/>
          <w:color w:val="auto"/>
        </w:rPr>
        <w:t>14,683,991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2703195</wp:posOffset>
            </wp:positionH>
            <wp:positionV relativeFrom="paragraph">
              <wp:posOffset>36830</wp:posOffset>
            </wp:positionV>
            <wp:extent cx="1405890" cy="11912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11912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Chagee Holdings Limited</w:t>
      </w:r>
    </w:p>
    <w:p>
      <w:pPr>
        <w:spacing w:after="0" w:line="49"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25"/>
          <w:szCs w:val="25"/>
          <w:b w:val="1"/>
          <w:bCs w:val="1"/>
          <w:color w:val="auto"/>
        </w:rPr>
        <w:t>Representing 14,683,991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130175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22" w:lineRule="exact"/>
        <w:rPr>
          <w:sz w:val="24"/>
          <w:szCs w:val="24"/>
          <w:color w:val="auto"/>
        </w:rPr>
      </w:pPr>
    </w:p>
    <w:p>
      <w:pPr>
        <w:jc w:val="both"/>
        <w:ind w:left="500" w:right="40" w:firstLine="360"/>
        <w:spacing w:after="0" w:line="227" w:lineRule="auto"/>
        <w:rPr>
          <w:sz w:val="20"/>
          <w:szCs w:val="20"/>
          <w:color w:val="auto"/>
        </w:rPr>
      </w:pPr>
      <w:r>
        <w:rPr>
          <w:rFonts w:ascii="Times New Roman" w:cs="Times New Roman" w:eastAsia="Times New Roman" w:hAnsi="Times New Roman"/>
          <w:sz w:val="15"/>
          <w:szCs w:val="15"/>
          <w:color w:val="auto"/>
        </w:rPr>
        <w:t>This is an initial public offering of American depositary shares, or ADSs, representing Class A ordinary shares of Chagee Holdings Limited. We are offering a total of 14,683,991 ADSs, each representing one of our Class A ordinary share, par value US$ 0.0001 per share. The underwriters may</w:t>
      </w:r>
    </w:p>
    <w:p>
      <w:pPr>
        <w:ind w:left="500"/>
        <w:spacing w:after="0" w:line="225" w:lineRule="auto"/>
        <w:rPr>
          <w:sz w:val="20"/>
          <w:szCs w:val="20"/>
          <w:color w:val="auto"/>
        </w:rPr>
      </w:pPr>
      <w:r>
        <w:rPr>
          <w:rFonts w:ascii="Times New Roman" w:cs="Times New Roman" w:eastAsia="Times New Roman" w:hAnsi="Times New Roman"/>
          <w:sz w:val="15"/>
          <w:szCs w:val="15"/>
          <w:color w:val="auto"/>
        </w:rPr>
        <w:t>also purchase up to 2,202,598 Class A ordinary shares within 30 days to cover over-allotments, if any.</w:t>
      </w:r>
    </w:p>
    <w:p>
      <w:pPr>
        <w:jc w:val="both"/>
        <w:ind w:left="500" w:right="60" w:firstLine="360"/>
        <w:spacing w:after="0" w:line="225" w:lineRule="auto"/>
        <w:rPr>
          <w:sz w:val="20"/>
          <w:szCs w:val="20"/>
          <w:color w:val="auto"/>
        </w:rPr>
      </w:pPr>
      <w:r>
        <w:rPr>
          <w:rFonts w:ascii="Times New Roman" w:cs="Times New Roman" w:eastAsia="Times New Roman" w:hAnsi="Times New Roman"/>
          <w:sz w:val="15"/>
          <w:szCs w:val="15"/>
          <w:color w:val="auto"/>
        </w:rPr>
        <w:t>Prior to this offering, there has been no public market for the ADSs. The initial public offering price is US$28.0 per ADS. We have been approved for listing the ADSs representing our Class A ordinary shares on the Nasdaq Global Select Market under the symbol “CHA.”</w:t>
      </w:r>
    </w:p>
    <w:p>
      <w:pPr>
        <w:spacing w:after="0" w:line="1" w:lineRule="exact"/>
        <w:rPr>
          <w:sz w:val="24"/>
          <w:szCs w:val="24"/>
          <w:color w:val="auto"/>
        </w:rPr>
      </w:pPr>
    </w:p>
    <w:p>
      <w:pPr>
        <w:jc w:val="both"/>
        <w:ind w:left="500" w:right="40" w:firstLine="360"/>
        <w:spacing w:after="0" w:line="225" w:lineRule="auto"/>
        <w:rPr>
          <w:sz w:val="20"/>
          <w:szCs w:val="20"/>
          <w:color w:val="auto"/>
        </w:rPr>
      </w:pPr>
      <w:r>
        <w:rPr>
          <w:rFonts w:ascii="Times New Roman" w:cs="Times New Roman" w:eastAsia="Times New Roman" w:hAnsi="Times New Roman"/>
          <w:sz w:val="15"/>
          <w:szCs w:val="15"/>
          <w:b w:val="1"/>
          <w:bCs w:val="1"/>
          <w:color w:val="auto"/>
        </w:rPr>
        <w:t>Neither the United States Securities and Exchange Commission nor any other regulatory body has approved or disapproved of these securities, or determined if this prospectus is truthful or complete. Any representation to the contrary is a criminal offense.</w:t>
      </w:r>
    </w:p>
    <w:p>
      <w:pPr>
        <w:ind w:left="860"/>
        <w:spacing w:after="0" w:line="226" w:lineRule="auto"/>
        <w:rPr>
          <w:sz w:val="20"/>
          <w:szCs w:val="20"/>
          <w:color w:val="auto"/>
        </w:rPr>
      </w:pPr>
      <w:r>
        <w:rPr>
          <w:rFonts w:ascii="Times New Roman" w:cs="Times New Roman" w:eastAsia="Times New Roman" w:hAnsi="Times New Roman"/>
          <w:sz w:val="15"/>
          <w:szCs w:val="15"/>
          <w:color w:val="auto"/>
        </w:rPr>
        <w:t>Following the completion of this offering, our issued and outstanding share capital will consist of Class A ordinary shares and Class B ordinary</w:t>
      </w:r>
    </w:p>
    <w:p>
      <w:pPr>
        <w:jc w:val="both"/>
        <w:ind w:left="500" w:right="60"/>
        <w:spacing w:after="0" w:line="212" w:lineRule="auto"/>
        <w:rPr>
          <w:sz w:val="20"/>
          <w:szCs w:val="20"/>
          <w:color w:val="auto"/>
        </w:rPr>
      </w:pPr>
      <w:r>
        <w:rPr>
          <w:rFonts w:ascii="Times New Roman" w:cs="Times New Roman" w:eastAsia="Times New Roman" w:hAnsi="Times New Roman"/>
          <w:sz w:val="15"/>
          <w:szCs w:val="15"/>
          <w:color w:val="auto"/>
        </w:rPr>
        <w:t>shares. Mr. Junjie Zhang, our founder, chairman of the board, and chief executive officer, will beneficially own all of our issued Class B ordinary shares and will be able to exercise 89.0% of the total voting power of our issued and outstanding share capital immediately following the completion of this offering, assuming the underwriters do not exercise their option to purchase additional ADSs. Holders of Class A ordinary shares and Class B</w:t>
      </w:r>
    </w:p>
    <w:p>
      <w:pPr>
        <w:spacing w:after="0" w:line="2" w:lineRule="exact"/>
        <w:rPr>
          <w:sz w:val="24"/>
          <w:szCs w:val="24"/>
          <w:color w:val="auto"/>
        </w:rPr>
      </w:pPr>
    </w:p>
    <w:p>
      <w:pPr>
        <w:jc w:val="both"/>
        <w:ind w:left="500" w:right="40"/>
        <w:spacing w:after="0" w:line="212" w:lineRule="auto"/>
        <w:rPr>
          <w:sz w:val="20"/>
          <w:szCs w:val="20"/>
          <w:color w:val="auto"/>
        </w:rPr>
      </w:pPr>
      <w:r>
        <w:rPr>
          <w:rFonts w:ascii="Times New Roman" w:cs="Times New Roman" w:eastAsia="Times New Roman" w:hAnsi="Times New Roman"/>
          <w:sz w:val="15"/>
          <w:szCs w:val="15"/>
          <w:color w:val="auto"/>
        </w:rPr>
        <w:t>ordinary shares have the same rights except for voting and conversion rights. Each Class A ordinary share is entitled to one vote and each Class B ordinary share is entitled to ten (10) votes. Each Class B ordinary share is convertible into one Class A ordinary share at any time by the holder thereof, while Class A ordinary shares are not convertible into Class B ordinary shares under any circumstances. Upon any sale, transfer, assignment or</w:t>
      </w:r>
    </w:p>
    <w:p>
      <w:pPr>
        <w:spacing w:after="0" w:line="2" w:lineRule="exact"/>
        <w:rPr>
          <w:sz w:val="24"/>
          <w:szCs w:val="24"/>
          <w:color w:val="auto"/>
        </w:rPr>
      </w:pPr>
    </w:p>
    <w:p>
      <w:pPr>
        <w:jc w:val="both"/>
        <w:ind w:left="500" w:right="40"/>
        <w:spacing w:after="0" w:line="212" w:lineRule="auto"/>
        <w:rPr>
          <w:sz w:val="20"/>
          <w:szCs w:val="20"/>
          <w:color w:val="auto"/>
        </w:rPr>
      </w:pPr>
      <w:r>
        <w:rPr>
          <w:rFonts w:ascii="Times New Roman" w:cs="Times New Roman" w:eastAsia="Times New Roman" w:hAnsi="Times New Roman"/>
          <w:sz w:val="15"/>
          <w:szCs w:val="15"/>
          <w:color w:val="auto"/>
        </w:rPr>
        <w:t>disposition of any Class B ordinary share by a holder thereof to any non-affiliate to such holder, each of such Class B ordinary share will be automatically and immediately converted into one Class A ordinary share. See “Description of Share Capital.” Immediately following the completion of this offering, we will be a “controlled company” within the meaning of the Nasdaq Stock Market Rules. See “Principal Shareholders.” As a</w:t>
      </w:r>
    </w:p>
    <w:p>
      <w:pPr>
        <w:spacing w:after="0" w:line="2" w:lineRule="exact"/>
        <w:rPr>
          <w:sz w:val="24"/>
          <w:szCs w:val="24"/>
          <w:color w:val="auto"/>
        </w:rPr>
      </w:pPr>
    </w:p>
    <w:p>
      <w:pPr>
        <w:jc w:val="both"/>
        <w:ind w:left="500" w:right="60"/>
        <w:spacing w:after="0" w:line="219" w:lineRule="auto"/>
        <w:rPr>
          <w:sz w:val="20"/>
          <w:szCs w:val="20"/>
          <w:color w:val="auto"/>
        </w:rPr>
      </w:pPr>
      <w:r>
        <w:rPr>
          <w:rFonts w:ascii="Times New Roman" w:cs="Times New Roman" w:eastAsia="Times New Roman" w:hAnsi="Times New Roman"/>
          <w:sz w:val="15"/>
          <w:szCs w:val="15"/>
          <w:color w:val="auto"/>
        </w:rPr>
        <w:t>“controlled company,” we are permitted to, and currently intend to rely on certain exemptions from corporate governance rules. See “Prospectus Summary — Implications of Being A Controlled Company” for details. As a result, you may not have the same protection afforded to shareholders of companies that are subject to these corporate governance requirements.</w:t>
      </w:r>
    </w:p>
    <w:p>
      <w:pPr>
        <w:jc w:val="both"/>
        <w:ind w:left="500" w:right="40" w:firstLine="360"/>
        <w:spacing w:after="0" w:line="212" w:lineRule="auto"/>
        <w:rPr>
          <w:sz w:val="20"/>
          <w:szCs w:val="20"/>
          <w:color w:val="auto"/>
        </w:rPr>
      </w:pPr>
      <w:r>
        <w:rPr>
          <w:rFonts w:ascii="Times New Roman" w:cs="Times New Roman" w:eastAsia="Times New Roman" w:hAnsi="Times New Roman"/>
          <w:sz w:val="15"/>
          <w:szCs w:val="15"/>
          <w:color w:val="auto"/>
        </w:rPr>
        <w:t>Four independent investors have subscribed for, and been allocated by the underwriters an aggregate of 4,850,000 ADSs, including (i) 1,600,000 ADSs allocated to one or more funds managed by affiliates of CDH Investment Management Company Limited, (ii) 1,600,000 ADSs allocated to investment funds and mandates managed or advised by RWC Asset Management LLP and RWC Asset Advisors (US) LLC, (iii) 1,250,000 ADSs</w:t>
      </w:r>
    </w:p>
    <w:p>
      <w:pPr>
        <w:spacing w:after="0" w:line="2" w:lineRule="exact"/>
        <w:rPr>
          <w:sz w:val="24"/>
          <w:szCs w:val="24"/>
          <w:color w:val="auto"/>
        </w:rPr>
      </w:pPr>
    </w:p>
    <w:p>
      <w:pPr>
        <w:jc w:val="both"/>
        <w:ind w:left="500" w:right="40"/>
        <w:spacing w:after="0" w:line="212" w:lineRule="auto"/>
        <w:rPr>
          <w:sz w:val="20"/>
          <w:szCs w:val="20"/>
          <w:color w:val="auto"/>
        </w:rPr>
      </w:pPr>
      <w:r>
        <w:rPr>
          <w:rFonts w:ascii="Times New Roman" w:cs="Times New Roman" w:eastAsia="Times New Roman" w:hAnsi="Times New Roman"/>
          <w:sz w:val="15"/>
          <w:szCs w:val="15"/>
          <w:color w:val="auto"/>
        </w:rPr>
        <w:t>allocated to Allianz Global Investors Asia Pacific Ltd. on behalf of the managed funds, and (iv) 400,000 ADSs allocated to ORIX Asia Asset Management Limited on behalf of the managed fund, collectively representing approximately 33.0% of the ADSs being offered in this offering, assuming the underwriters do not exercise their option to purchase additional ADSs. Their subscriptions for the ADSs are at the initial public offering</w:t>
      </w:r>
    </w:p>
    <w:p>
      <w:pPr>
        <w:spacing w:after="0" w:line="2" w:lineRule="exact"/>
        <w:rPr>
          <w:sz w:val="24"/>
          <w:szCs w:val="24"/>
          <w:color w:val="auto"/>
        </w:rPr>
      </w:pPr>
    </w:p>
    <w:p>
      <w:pPr>
        <w:jc w:val="both"/>
        <w:ind w:left="500" w:right="40"/>
        <w:spacing w:after="0"/>
        <w:rPr>
          <w:sz w:val="20"/>
          <w:szCs w:val="20"/>
          <w:color w:val="auto"/>
        </w:rPr>
      </w:pPr>
      <w:r>
        <w:rPr>
          <w:rFonts w:ascii="Times New Roman" w:cs="Times New Roman" w:eastAsia="Times New Roman" w:hAnsi="Times New Roman"/>
          <w:sz w:val="15"/>
          <w:szCs w:val="15"/>
          <w:color w:val="auto"/>
        </w:rPr>
        <w:t>price and on the same terms as the other ADSs being offered. The underwriters will receive the same underwriting discounts and commissions on any ADSs purchased by these investors as they will on any other ADSs sold to other public investors in this offering. For additional information, see “Underwriting.”</w:t>
      </w:r>
    </w:p>
    <w:p>
      <w:pPr>
        <w:spacing w:after="0" w:line="128" w:lineRule="exact"/>
        <w:rPr>
          <w:sz w:val="24"/>
          <w:szCs w:val="24"/>
          <w:color w:val="auto"/>
        </w:rPr>
      </w:pPr>
    </w:p>
    <w:p>
      <w:pPr>
        <w:jc w:val="both"/>
        <w:ind w:left="500" w:right="60" w:firstLine="360"/>
        <w:spacing w:after="0" w:line="216" w:lineRule="auto"/>
        <w:rPr>
          <w:sz w:val="20"/>
          <w:szCs w:val="20"/>
          <w:color w:val="auto"/>
        </w:rPr>
      </w:pPr>
      <w:r>
        <w:rPr>
          <w:rFonts w:ascii="Times New Roman" w:cs="Times New Roman" w:eastAsia="Times New Roman" w:hAnsi="Times New Roman"/>
          <w:sz w:val="15"/>
          <w:szCs w:val="15"/>
          <w:color w:val="auto"/>
        </w:rPr>
        <w:t>Chagee Holdings Limited is a Cayman Islands holding company with no business operations of its own. It conducts all of its operations through its subsidiaries located in China and elsewhere. It does not use a variable interest entity structure. Investors in the ADSs are not purchasing equity</w:t>
      </w:r>
    </w:p>
    <w:p>
      <w:pPr>
        <w:jc w:val="both"/>
        <w:ind w:left="500" w:right="60"/>
        <w:spacing w:after="0" w:line="212" w:lineRule="auto"/>
        <w:rPr>
          <w:sz w:val="20"/>
          <w:szCs w:val="20"/>
          <w:color w:val="auto"/>
        </w:rPr>
      </w:pPr>
      <w:r>
        <w:rPr>
          <w:rFonts w:ascii="Times New Roman" w:cs="Times New Roman" w:eastAsia="Times New Roman" w:hAnsi="Times New Roman"/>
          <w:sz w:val="15"/>
          <w:szCs w:val="15"/>
          <w:color w:val="auto"/>
        </w:rPr>
        <w:t>securities of these subsidiaries that have substantive business operations but instead are purchasing equity securities of a Cayman Islands holding company. This holding company structure involves unique risks to investors. For example, while we do not operate in an industry that is currently subject to foreign ownership limitations in China, PRC regulatory authorities could decide to limit foreign ownership in our industry and/or disallow</w:t>
      </w:r>
    </w:p>
    <w:p>
      <w:pPr>
        <w:spacing w:after="0" w:line="2" w:lineRule="exact"/>
        <w:rPr>
          <w:sz w:val="24"/>
          <w:szCs w:val="24"/>
          <w:color w:val="auto"/>
        </w:rPr>
      </w:pPr>
    </w:p>
    <w:p>
      <w:pPr>
        <w:jc w:val="both"/>
        <w:ind w:left="500" w:right="60"/>
        <w:spacing w:after="0" w:line="212" w:lineRule="auto"/>
        <w:rPr>
          <w:sz w:val="20"/>
          <w:szCs w:val="20"/>
          <w:color w:val="auto"/>
        </w:rPr>
      </w:pPr>
      <w:r>
        <w:rPr>
          <w:rFonts w:ascii="Times New Roman" w:cs="Times New Roman" w:eastAsia="Times New Roman" w:hAnsi="Times New Roman"/>
          <w:sz w:val="15"/>
          <w:szCs w:val="15"/>
          <w:color w:val="auto"/>
        </w:rPr>
        <w:t>this holding company structure in the future, in which case there could be a risk that we would be unable to do business in China as we are currently structured. In such event, despite our efforts to restructure to comply with the then applicable PRC laws and regulations in order to continue our operations in China, we may experience material changes in our business and results of operations, our attempts may prove to be futile due to factors</w:t>
      </w:r>
    </w:p>
    <w:p>
      <w:pPr>
        <w:spacing w:after="0" w:line="2" w:lineRule="exact"/>
        <w:rPr>
          <w:sz w:val="24"/>
          <w:szCs w:val="24"/>
          <w:color w:val="auto"/>
        </w:rPr>
      </w:pPr>
    </w:p>
    <w:p>
      <w:pPr>
        <w:jc w:val="both"/>
        <w:ind w:left="500" w:right="40"/>
        <w:spacing w:after="0" w:line="222" w:lineRule="auto"/>
        <w:rPr>
          <w:sz w:val="20"/>
          <w:szCs w:val="20"/>
          <w:color w:val="auto"/>
        </w:rPr>
      </w:pPr>
      <w:r>
        <w:rPr>
          <w:rFonts w:ascii="Times New Roman" w:cs="Times New Roman" w:eastAsia="Times New Roman" w:hAnsi="Times New Roman"/>
          <w:sz w:val="15"/>
          <w:szCs w:val="15"/>
          <w:color w:val="auto"/>
        </w:rPr>
        <w:t>beyond our control, and the value of the ADSs you invest in may significantly decline or become worthless. See “Risk Factors — Risks Related to Doing Business in China — the PRC Foreign Investment Law may impact the viability of our current corporate structure and operations.” As used in this prospectus, “we,” “us,” “our company,” “our,” or “Chagee” refers to Chagee Holdings Limited and its subsidiaries.</w:t>
      </w:r>
    </w:p>
    <w:p>
      <w:pPr>
        <w:spacing w:after="0" w:line="1" w:lineRule="exact"/>
        <w:rPr>
          <w:sz w:val="24"/>
          <w:szCs w:val="24"/>
          <w:color w:val="auto"/>
        </w:rPr>
      </w:pPr>
    </w:p>
    <w:p>
      <w:pPr>
        <w:jc w:val="both"/>
        <w:ind w:left="500" w:right="40" w:firstLine="360"/>
        <w:spacing w:after="0"/>
        <w:rPr>
          <w:sz w:val="20"/>
          <w:szCs w:val="20"/>
          <w:color w:val="auto"/>
        </w:rPr>
      </w:pPr>
      <w:r>
        <w:rPr>
          <w:rFonts w:ascii="Times New Roman" w:cs="Times New Roman" w:eastAsia="Times New Roman" w:hAnsi="Times New Roman"/>
          <w:sz w:val="15"/>
          <w:szCs w:val="15"/>
          <w:color w:val="auto"/>
        </w:rPr>
        <w:t>We face various legal and operational risks and uncertainties related to being based in and having a significant portion of our operations in China. The PRC regulatory authorities have significant oversight and discretion over the conduct of our business and may influence our operations as they deem appropriate to further economic, regulatory, political and societal goals. The PRC regulatory authorities have issued new policies covering cybersecurity, data privacy, antitrust, foreign investments, and overseas securities listings, requiring or potentially requiring us to undergo additional regulatory approvals and filings for our business operations, acceptance of foreign investments, this offering and our proposed listing in the United States. For example, we have applied for and completed a cybersecurity review pursuant to the Cybersecurity Review Measures; and we have also completed the filings with the CSRC for this offering and our proposed overseas listing and the CSRC has concluded the filing procedure and published the filing results on the CSRC website on March 6, 2025. Furthermore, we cannot rule out the possibility that the PRC regulatory authorities will in the future release regulations or policies regarding our industry that could adversely affect our business, financial condition and results of operations. These risks could result in a material change in our operations and the value of the ADSs, significantly limit or completely hinder our ability to offer or continue to offer securities to investors, or cause the value of such securities to significantly decline or be worthless. For more details, see “Risk Factors — Risks Relating to Doing Business in China —  The PRC government exerts substantial influence over the manner in which we conduct our business operations. Our business is subject to complex and evolving policies, laws and regulations, the application, interpretation and enforcement of which may be changed from time to time. Failure to comply with these laws and regulations may materially and adversely affect us” on pages 42 and 43 of this prospectus.</w:t>
      </w:r>
    </w:p>
    <w:p>
      <w:pPr>
        <w:spacing w:after="0" w:line="35" w:lineRule="exact"/>
        <w:rPr>
          <w:sz w:val="24"/>
          <w:szCs w:val="24"/>
          <w:color w:val="auto"/>
        </w:rPr>
      </w:pPr>
    </w:p>
    <w:p>
      <w:pPr>
        <w:jc w:val="both"/>
        <w:ind w:left="500" w:right="60" w:firstLine="360"/>
        <w:spacing w:after="0" w:line="230" w:lineRule="auto"/>
        <w:rPr>
          <w:sz w:val="20"/>
          <w:szCs w:val="20"/>
          <w:color w:val="auto"/>
        </w:rPr>
      </w:pPr>
      <w:r>
        <w:rPr>
          <w:rFonts w:ascii="Times New Roman" w:cs="Times New Roman" w:eastAsia="Times New Roman" w:hAnsi="Times New Roman"/>
          <w:sz w:val="15"/>
          <w:szCs w:val="15"/>
          <w:color w:val="auto"/>
        </w:rPr>
        <w:t>We currently do not have cash management policies that dictate how funds are transferred between Chagee Holdings Limited and its subsidiaries, and investors of our company. Cash is usually transferred within our group in the following manner: (i) funds may be transferred to CHAGEE INVESTMENT PTE. LTD, or Chagee Investment, and Chagee Holdings (UK) Limited, and further to their respective subsidiaries, from Chagee Holdings Limited as needed through CHAGEE HOLDINGS PTE. LTD., or Chagee Holdings Singapore, in the form of capital contributions or shareholder loans, as the case may be; and (ii) dividends or other distributions may be paid by Chagee Investment and Chagee Holdings (UK) Limited to Chagee Holdings Limited through Chagee Holdings Singapore. In the years ended December 31, 2022, 2023 and 2024, and as of the date of this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232410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2" w:lineRule="exact"/>
        <w:rPr>
          <w:sz w:val="20"/>
          <w:szCs w:val="20"/>
          <w:color w:val="auto"/>
        </w:rPr>
      </w:pPr>
    </w:p>
    <w:p>
      <w:pPr>
        <w:jc w:val="both"/>
        <w:ind w:left="500" w:right="20"/>
        <w:spacing w:after="0" w:line="228" w:lineRule="auto"/>
        <w:rPr>
          <w:sz w:val="20"/>
          <w:szCs w:val="20"/>
          <w:color w:val="auto"/>
        </w:rPr>
      </w:pPr>
      <w:r>
        <w:rPr>
          <w:rFonts w:ascii="Times New Roman" w:cs="Times New Roman" w:eastAsia="Times New Roman" w:hAnsi="Times New Roman"/>
          <w:sz w:val="15"/>
          <w:szCs w:val="15"/>
          <w:color w:val="auto"/>
        </w:rPr>
        <w:t>prospectus, Chagee Holdings Limited did not transfer any cash to or from any of our PRC subsidiaries, except for the cash transfers within our group in connection with the Restructuring. In 2023, (i) shareholder loans totalled US$ 5.5 million, US$250 thousand and US$20 thousand from Chagee Holdings Limited to Chagee Investment, Chagee Holdings Singapore and Chagee Group (SEA) PTE. LTD., respectively, and (ii) capital contributions totalled RMB36.9 million from Chagee Investment to Beijing Chagee. See Note 1 (b) to our consolidated financial statements included elsewhere in this prospectus. In the future, cash proceeds raised from overseas financing activities, including this offering, may be transferred by Chagee Holdings Limited through Chagee Holdings Singapore and Chagee Investment to Beijing Chagee, via capital contribution and shareholder loans, as the case may be. Beijing Chagee then will transfer funds to its subsidiaries to meet the capital needs of our business operations in China. The ability of Chagee Holdings Limited to pay dividends, if any, to its shareholders and ADS holders and to service any debt it may incur will depend upon dividends paid by our subsidiaries, particularly our PRC subsidiaries that conduct a significant portion of our business operations. None of our PRC subsidiaries have issued any dividends or distributions to their respective holding companies, including Chagee Holdings Limited, or any investors as of the date of this prospectus, and they will not be able to do so until they generate accumulated profits and meet the requirements for statutory reserve funds. See “Prospectus Summary — Our History and Corporate Structure — Cash Flows through Our Organization” for details.</w:t>
      </w:r>
    </w:p>
    <w:p>
      <w:pPr>
        <w:spacing w:after="0" w:line="7" w:lineRule="exact"/>
        <w:rPr>
          <w:sz w:val="20"/>
          <w:szCs w:val="20"/>
          <w:color w:val="auto"/>
        </w:rPr>
      </w:pPr>
    </w:p>
    <w:p>
      <w:pPr>
        <w:jc w:val="both"/>
        <w:ind w:left="500" w:right="20" w:firstLine="360"/>
        <w:spacing w:after="0"/>
        <w:rPr>
          <w:sz w:val="20"/>
          <w:szCs w:val="20"/>
          <w:color w:val="auto"/>
        </w:rPr>
      </w:pPr>
      <w:r>
        <w:rPr>
          <w:rFonts w:ascii="Times New Roman" w:cs="Times New Roman" w:eastAsia="Times New Roman" w:hAnsi="Times New Roman"/>
          <w:sz w:val="15"/>
          <w:szCs w:val="15"/>
          <w:color w:val="auto"/>
        </w:rPr>
        <w:t>However, there could be limitations on our ability to transfer cash between Chagee Holdings Limited and its subsidiaries, and investors of our company. For example, if our PRC subsidiaries incur debt in the future, the debt instruments may limit their ability to pay dividends or make distributions to us, potentially affecting our liquidity. Additionally, investors should be aware that to the extent cash in the business is in the PRC or a PRC entity, the funds may not be transfered between Chagee Holdings Limited and its subsidiaries or be available to fund operations or for other use outside of the PRC due to interventions in or the imposition of restrictions and limitations on the ability of our subsidiaries by the PRC government to transfer cash. On the other hand, transferring funds to our PRC subsidiaries, whether as loans or increases in registered capital, requires approvals, registrations, or filings with relevant PRC regulatory authorities. Obtaining these approvals or completing registrations or filings in a timely manner for future capital contributions or foreign loans from us to our PRC subsidiaries may be uncertain or delayed. For additional information about the applicable PRC regulations and rules relating to such cash transfers through our group and the associated risks, see “Prospectus Summary  —   Our History and Corporate Structure  —  Cash Flows through Our Organization,” “Prospectus Summary — Summary of Risk Factors — Risks Relating to Doing Business in China,” “Risk Factors  —   Risks Relating to Doing Business in China  —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on pages 47 and 48 of this prospectus, and “Risk Factors  — Risks Relating to Doing Business in China  —  PRC regulation of loans to and direct investment in PRC entities by offshore holding companies and currency conversion may delay us from using the proceeds of this offering to make loans or additional capital contributions to our PRC subsidiaries, which could materially and adversely affect our liquidity and our ability to fund and expand our business” on pages 48 and 49 of this prospectus.</w:t>
      </w:r>
    </w:p>
    <w:p>
      <w:pPr>
        <w:spacing w:after="0" w:line="8" w:lineRule="exact"/>
        <w:rPr>
          <w:sz w:val="20"/>
          <w:szCs w:val="20"/>
          <w:color w:val="auto"/>
        </w:rPr>
      </w:pPr>
    </w:p>
    <w:p>
      <w:pPr>
        <w:jc w:val="both"/>
        <w:ind w:left="500" w:right="20" w:firstLine="360"/>
        <w:spacing w:after="0"/>
        <w:rPr>
          <w:sz w:val="20"/>
          <w:szCs w:val="20"/>
          <w:color w:val="auto"/>
        </w:rPr>
      </w:pPr>
      <w:r>
        <w:rPr>
          <w:rFonts w:ascii="Times New Roman" w:cs="Times New Roman" w:eastAsia="Times New Roman" w:hAnsi="Times New Roman"/>
          <w:sz w:val="15"/>
          <w:szCs w:val="15"/>
          <w:color w:val="auto"/>
        </w:rPr>
        <w:t>Trading in our securities on U.S. markets, including Nasdaq, may be prohibited under the Holding Foreign Companies Accountable Act, as amended by the Consolidated Appropriations Act, 2023 (the “</w:t>
      </w:r>
      <w:r>
        <w:rPr>
          <w:rFonts w:ascii="Times New Roman" w:cs="Times New Roman" w:eastAsia="Times New Roman" w:hAnsi="Times New Roman"/>
          <w:sz w:val="15"/>
          <w:szCs w:val="15"/>
          <w:b w:val="1"/>
          <w:bCs w:val="1"/>
          <w:color w:val="auto"/>
        </w:rPr>
        <w:t>HFCAA</w:t>
      </w:r>
      <w:r>
        <w:rPr>
          <w:rFonts w:ascii="Times New Roman" w:cs="Times New Roman" w:eastAsia="Times New Roman" w:hAnsi="Times New Roman"/>
          <w:sz w:val="15"/>
          <w:szCs w:val="15"/>
          <w:color w:val="auto"/>
        </w:rPr>
        <w:t>”) if the Public Company Accounting Oversight Board (the “</w:t>
      </w:r>
      <w:r>
        <w:rPr>
          <w:rFonts w:ascii="Times New Roman" w:cs="Times New Roman" w:eastAsia="Times New Roman" w:hAnsi="Times New Roman"/>
          <w:sz w:val="15"/>
          <w:szCs w:val="15"/>
          <w:b w:val="1"/>
          <w:bCs w:val="1"/>
          <w:color w:val="auto"/>
        </w:rPr>
        <w:t>PCAOB</w:t>
      </w:r>
      <w:r>
        <w:rPr>
          <w:rFonts w:ascii="Times New Roman" w:cs="Times New Roman" w:eastAsia="Times New Roman" w:hAnsi="Times New Roman"/>
          <w:sz w:val="15"/>
          <w:szCs w:val="15"/>
          <w:color w:val="auto"/>
        </w:rPr>
        <w:t>”) determines that it is unable to inspect or investigate completely our auditor for two consecutive years because of the position taken by authorities in a foreign jurisdiction. On December 16, 2021, the PCAOB issued the HFCAA Determination Report to notify the SEC of its determinations that the PCAOB was unable to inspect or investigate completely registered public accounting firms headquartered in mainland China and Hong Kong (the “</w:t>
      </w:r>
      <w:r>
        <w:rPr>
          <w:rFonts w:ascii="Times New Roman" w:cs="Times New Roman" w:eastAsia="Times New Roman" w:hAnsi="Times New Roman"/>
          <w:sz w:val="15"/>
          <w:szCs w:val="15"/>
          <w:b w:val="1"/>
          <w:bCs w:val="1"/>
          <w:color w:val="auto"/>
        </w:rPr>
        <w:t>2021 Determinations</w:t>
      </w:r>
      <w:r>
        <w:rPr>
          <w:rFonts w:ascii="Times New Roman" w:cs="Times New Roman" w:eastAsia="Times New Roman" w:hAnsi="Times New Roman"/>
          <w:sz w:val="15"/>
          <w:szCs w:val="15"/>
          <w:color w:val="auto"/>
        </w:rPr>
        <w:t>”), including our auditor, which is headquartered in mainland China. On December 15, 2022, the PCAOB announced that it was able to conduct inspections and investigations of PCAOB-registered public accounting firms headquartered in mainland China and Hong Kong in 2022. The PCAOB vacated its previous 2021 Determinations accordingly. As a result, we do not expect to be identified as a “Commission-Identified Issuer” under the HFCAA for the fiscal year ending December 31, 2024.</w:t>
      </w:r>
    </w:p>
    <w:p>
      <w:pPr>
        <w:spacing w:after="0" w:line="98" w:lineRule="exact"/>
        <w:rPr>
          <w:sz w:val="20"/>
          <w:szCs w:val="20"/>
          <w:color w:val="auto"/>
        </w:rPr>
      </w:pPr>
    </w:p>
    <w:p>
      <w:pPr>
        <w:jc w:val="both"/>
        <w:ind w:left="500" w:right="20" w:firstLine="360"/>
        <w:spacing w:after="0"/>
        <w:rPr>
          <w:sz w:val="20"/>
          <w:szCs w:val="20"/>
          <w:color w:val="auto"/>
        </w:rPr>
      </w:pPr>
      <w:r>
        <w:rPr>
          <w:rFonts w:ascii="Times New Roman" w:cs="Times New Roman" w:eastAsia="Times New Roman" w:hAnsi="Times New Roman"/>
          <w:sz w:val="15"/>
          <w:szCs w:val="15"/>
          <w:color w:val="auto"/>
        </w:rPr>
        <w:t>However, whether the PCAOB will continue to be able to satisfactorily conduct inspections and investigations of PCAOB-registered public accounting firms headquartered in mainland China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and states that it has already made plans to resume regular inspections in the future. The PCAOB is required under the HFCAA to make its determination on an annual basis with regards to its ability to inspect and investigate completely accounting firms based in the mainland China and Hong Kong. The possibility of being a “Commission-Identified Issuer” and risk of delisting could continue to adversely affect the trading price of our securities. If the PCAOB determines in the future 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and if we were so identified for two consecutive years, trading in our securities on U.S. markets would be prohibited under the HFCAA and Nasdaq or any other U.S. exchange on which our securities are listed may determine to delist our securities. For more details, see “Risk Factors — Risks Relating to Doing Business in China — Trading in our securities may be prohibited under the Holding Foreign Companies Accountable Act if the PCAOB determines that it is unable to inspect or investigate completely our auditor, and as a result, U.S. national securities exchanges, such as Nasdaq, may determine to delist our securities. The delisting of the ADSs, or the threat of their being delisted, may materially and adversely affect the value of your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74930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4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5"/>
          <w:szCs w:val="15"/>
          <w:color w:val="auto"/>
        </w:rPr>
        <w:t>PRICE US$28.00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55880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b w:val="1"/>
          <w:bCs w:val="1"/>
          <w:color w:val="auto"/>
        </w:rPr>
        <w:t xml:space="preserve">Investing in the ADSs involves risks. See “Risk Factors” beginning on page </w:t>
      </w:r>
      <w:r>
        <w:rPr>
          <w:rFonts w:ascii="Times New Roman" w:cs="Times New Roman" w:eastAsia="Times New Roman" w:hAnsi="Times New Roman"/>
          <w:sz w:val="15"/>
          <w:szCs w:val="15"/>
          <w:b w:val="1"/>
          <w:bCs w:val="1"/>
          <w:u w:val="single" w:color="auto"/>
          <w:color w:val="0000EE"/>
        </w:rPr>
        <w:t>25</w:t>
      </w:r>
      <w:r>
        <w:rPr>
          <w:rFonts w:ascii="Times New Roman" w:cs="Times New Roman" w:eastAsia="Times New Roman" w:hAnsi="Times New Roman"/>
          <w:sz w:val="15"/>
          <w:szCs w:val="15"/>
          <w:b w:val="1"/>
          <w:bCs w:val="1"/>
          <w:color w:val="auto"/>
        </w:rPr>
        <w:t xml:space="preserve"> of this prospectus.</w:t>
      </w:r>
    </w:p>
    <w:p>
      <w:pPr>
        <w:spacing w:after="0" w:line="85"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40" w:type="dxa"/>
            <w:vAlign w:val="bottom"/>
            <w:tcBorders>
              <w:top w:val="single" w:sz="8" w:color="auto"/>
            </w:tcBorders>
          </w:tcPr>
          <w:p>
            <w:pPr>
              <w:spacing w:after="0"/>
              <w:rPr>
                <w:sz w:val="16"/>
                <w:szCs w:val="16"/>
                <w:color w:val="auto"/>
              </w:rPr>
            </w:pPr>
          </w:p>
        </w:tc>
        <w:tc>
          <w:tcPr>
            <w:tcW w:w="2580" w:type="dxa"/>
            <w:vAlign w:val="bottom"/>
            <w:gridSpan w:val="2"/>
          </w:tcPr>
          <w:p>
            <w:pPr>
              <w:ind w:left="1720"/>
              <w:spacing w:after="0"/>
              <w:rPr>
                <w:sz w:val="20"/>
                <w:szCs w:val="20"/>
                <w:color w:val="auto"/>
              </w:rPr>
            </w:pPr>
            <w:r>
              <w:rPr>
                <w:rFonts w:ascii="Times New Roman" w:cs="Times New Roman" w:eastAsia="Times New Roman" w:hAnsi="Times New Roman"/>
                <w:sz w:val="14"/>
                <w:szCs w:val="14"/>
                <w:b w:val="1"/>
                <w:bCs w:val="1"/>
                <w:color w:val="auto"/>
              </w:rPr>
              <w:t>​ ​  Per ADS</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5"/>
        </w:trPr>
        <w:tc>
          <w:tcPr>
            <w:tcW w:w="39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Public offering price</w:t>
            </w:r>
          </w:p>
        </w:tc>
        <w:tc>
          <w:tcPr>
            <w:tcW w:w="1940" w:type="dxa"/>
            <w:vAlign w:val="bottom"/>
            <w:tcBorders>
              <w:top w:val="single" w:sz="8" w:color="CCEEFF"/>
            </w:tcBorders>
            <w:shd w:val="clear" w:color="auto" w:fill="CCEEFF"/>
          </w:tcPr>
          <w:p>
            <w:pPr>
              <w:spacing w:after="0"/>
              <w:rPr>
                <w:sz w:val="13"/>
                <w:szCs w:val="13"/>
                <w:color w:val="auto"/>
              </w:rPr>
            </w:pPr>
          </w:p>
        </w:tc>
        <w:tc>
          <w:tcPr>
            <w:tcW w:w="1880" w:type="dxa"/>
            <w:vAlign w:val="bottom"/>
            <w:tcBorders>
              <w:top w:val="single" w:sz="8" w:color="CCEEFF"/>
            </w:tcBorders>
            <w:shd w:val="clear" w:color="auto" w:fill="CCEEFF"/>
          </w:tcPr>
          <w:p>
            <w:pPr>
              <w:ind w:left="17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​US$ 28.00</w:t>
            </w:r>
          </w:p>
        </w:tc>
        <w:tc>
          <w:tcPr>
            <w:tcW w:w="220" w:type="dxa"/>
            <w:vAlign w:val="bottom"/>
            <w:tcBorders>
              <w:top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​US$411,151,748​</w:t>
            </w:r>
          </w:p>
        </w:tc>
        <w:tc>
          <w:tcPr>
            <w:tcW w:w="40" w:type="dxa"/>
            <w:vAlign w:val="bottom"/>
          </w:tcPr>
          <w:p>
            <w:pPr>
              <w:spacing w:after="0"/>
              <w:rPr>
                <w:sz w:val="13"/>
                <w:szCs w:val="13"/>
                <w:color w:val="auto"/>
              </w:rPr>
            </w:pPr>
          </w:p>
        </w:tc>
      </w:tr>
      <w:tr>
        <w:trPr>
          <w:trHeight w:val="176"/>
        </w:trPr>
        <w:tc>
          <w:tcPr>
            <w:tcW w:w="3900" w:type="dxa"/>
            <w:vAlign w:val="bottom"/>
          </w:tcPr>
          <w:p>
            <w:pPr>
              <w:spacing w:after="0" w:line="175" w:lineRule="exact"/>
              <w:rPr>
                <w:sz w:val="20"/>
                <w:szCs w:val="20"/>
                <w:color w:val="auto"/>
              </w:rPr>
            </w:pPr>
            <w:r>
              <w:rPr>
                <w:rFonts w:ascii="Times New Roman" w:cs="Times New Roman" w:eastAsia="Times New Roman" w:hAnsi="Times New Roman"/>
                <w:sz w:val="15"/>
                <w:szCs w:val="15"/>
                <w:color w:val="auto"/>
              </w:rPr>
              <w:t>Underwriting discounts and commissions</w:t>
            </w:r>
            <w:r>
              <w:rPr>
                <w:rFonts w:ascii="Times New Roman" w:cs="Times New Roman" w:eastAsia="Times New Roman" w:hAnsi="Times New Roman"/>
                <w:sz w:val="19"/>
                <w:szCs w:val="19"/>
                <w:color w:val="auto"/>
                <w:vertAlign w:val="superscript"/>
              </w:rPr>
              <w:t>(1)</w:t>
            </w:r>
          </w:p>
        </w:tc>
        <w:tc>
          <w:tcPr>
            <w:tcW w:w="1940" w:type="dxa"/>
            <w:vAlign w:val="bottom"/>
          </w:tcPr>
          <w:p>
            <w:pPr>
              <w:spacing w:after="0"/>
              <w:rPr>
                <w:sz w:val="15"/>
                <w:szCs w:val="15"/>
                <w:color w:val="auto"/>
              </w:rPr>
            </w:pPr>
          </w:p>
        </w:tc>
        <w:tc>
          <w:tcPr>
            <w:tcW w:w="2580" w:type="dxa"/>
            <w:vAlign w:val="bottom"/>
            <w:gridSpan w:val="2"/>
          </w:tcPr>
          <w:p>
            <w:pPr>
              <w:ind w:left="1760"/>
              <w:spacing w:after="0"/>
              <w:rPr>
                <w:sz w:val="20"/>
                <w:szCs w:val="20"/>
                <w:color w:val="auto"/>
              </w:rPr>
            </w:pPr>
            <w:r>
              <w:rPr>
                <w:rFonts w:ascii="Times New Roman" w:cs="Times New Roman" w:eastAsia="Times New Roman" w:hAnsi="Times New Roman"/>
                <w:sz w:val="15"/>
                <w:szCs w:val="15"/>
                <w:color w:val="auto"/>
              </w:rPr>
              <w:t>​ ​US$   1.96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​US$  28,780,622​</w:t>
            </w:r>
          </w:p>
        </w:tc>
        <w:tc>
          <w:tcPr>
            <w:tcW w:w="40" w:type="dxa"/>
            <w:vAlign w:val="bottom"/>
          </w:tcPr>
          <w:p>
            <w:pPr>
              <w:spacing w:after="0"/>
              <w:rPr>
                <w:sz w:val="15"/>
                <w:szCs w:val="15"/>
                <w:color w:val="auto"/>
              </w:rPr>
            </w:pPr>
          </w:p>
        </w:tc>
      </w:tr>
      <w:tr>
        <w:trPr>
          <w:trHeight w:val="17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before expenses, to us</w:t>
            </w:r>
          </w:p>
        </w:tc>
        <w:tc>
          <w:tcPr>
            <w:tcW w:w="1940" w:type="dxa"/>
            <w:vAlign w:val="bottom"/>
            <w:shd w:val="clear" w:color="auto" w:fill="CCEEFF"/>
          </w:tcPr>
          <w:p>
            <w:pPr>
              <w:spacing w:after="0"/>
              <w:rPr>
                <w:sz w:val="15"/>
                <w:szCs w:val="15"/>
                <w:color w:val="auto"/>
              </w:rPr>
            </w:pPr>
          </w:p>
        </w:tc>
        <w:tc>
          <w:tcPr>
            <w:tcW w:w="258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5"/>
                <w:szCs w:val="15"/>
                <w:color w:val="auto"/>
              </w:rPr>
              <w:t>​ ​US$ 26.04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​US$382,371,126​</w:t>
            </w:r>
          </w:p>
        </w:tc>
        <w:tc>
          <w:tcPr>
            <w:tcW w:w="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-334010</wp:posOffset>
            </wp:positionV>
            <wp:extent cx="5486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154305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860" w:hanging="368"/>
        <w:spacing w:after="0"/>
        <w:tabs>
          <w:tab w:leader="none" w:pos="8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 description of the compensation payable to the underwriters, see “Underwriting.”</w:t>
      </w:r>
      <w:r>
        <w:rPr>
          <w:rFonts w:ascii="Times New Roman" w:cs="Times New Roman" w:eastAsia="Times New Roman" w:hAnsi="Times New Roman"/>
          <w:sz w:val="17"/>
          <w:szCs w:val="17"/>
          <w:color w:val="auto"/>
        </w:rPr>
        <w:t>​</w:t>
      </w:r>
    </w:p>
    <w:p>
      <w:pPr>
        <w:spacing w:after="0" w:line="39" w:lineRule="exact"/>
        <w:rPr>
          <w:sz w:val="20"/>
          <w:szCs w:val="20"/>
          <w:color w:val="auto"/>
        </w:rPr>
      </w:pPr>
    </w:p>
    <w:p>
      <w:pPr>
        <w:ind w:left="500" w:right="40" w:firstLine="360"/>
        <w:spacing w:after="0" w:line="243" w:lineRule="auto"/>
        <w:rPr>
          <w:sz w:val="20"/>
          <w:szCs w:val="20"/>
          <w:color w:val="auto"/>
        </w:rPr>
      </w:pPr>
      <w:r>
        <w:rPr>
          <w:rFonts w:ascii="Times New Roman" w:cs="Times New Roman" w:eastAsia="Times New Roman" w:hAnsi="Times New Roman"/>
          <w:sz w:val="15"/>
          <w:szCs w:val="15"/>
          <w:color w:val="auto"/>
        </w:rPr>
        <w:t>The underwriters have an over-allotment option to purchase up to an additional 2,202,598 ADSs from us at the initial public offering price, less the underwriting discounts and commissions, within 30 days from the date of this prospectus.</w:t>
      </w:r>
    </w:p>
    <w:p>
      <w:pPr>
        <w:ind w:left="860"/>
        <w:spacing w:after="0"/>
        <w:rPr>
          <w:sz w:val="20"/>
          <w:szCs w:val="20"/>
          <w:color w:val="auto"/>
        </w:rPr>
      </w:pPr>
      <w:r>
        <w:rPr>
          <w:rFonts w:ascii="Times New Roman" w:cs="Times New Roman" w:eastAsia="Times New Roman" w:hAnsi="Times New Roman"/>
          <w:sz w:val="15"/>
          <w:szCs w:val="15"/>
          <w:color w:val="auto"/>
        </w:rPr>
        <w:t>The underwriters expect to deliver the ADSs against payment in U.S. dollars in New York, New York on April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88265</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30" w:lineRule="exact"/>
        <w:rPr>
          <w:sz w:val="20"/>
          <w:szCs w:val="20"/>
          <w:color w:val="auto"/>
        </w:rPr>
      </w:pPr>
    </w:p>
    <w:p>
      <w:pPr>
        <w:ind w:left="500"/>
        <w:spacing w:after="0"/>
        <w:tabs>
          <w:tab w:leader="none" w:pos="3000" w:val="left"/>
          <w:tab w:leader="none" w:pos="6260" w:val="left"/>
          <w:tab w:leader="none" w:pos="9500" w:val="left"/>
        </w:tabs>
        <w:rPr>
          <w:sz w:val="20"/>
          <w:szCs w:val="20"/>
          <w:color w:val="auto"/>
        </w:rPr>
      </w:pPr>
      <w:r>
        <w:rPr>
          <w:rFonts w:ascii="Times New Roman" w:cs="Times New Roman" w:eastAsia="Times New Roman" w:hAnsi="Times New Roman"/>
          <w:sz w:val="29"/>
          <w:szCs w:val="29"/>
          <w:b w:val="1"/>
          <w:bCs w:val="1"/>
          <w:color w:val="auto"/>
        </w:rPr>
        <w:t>Citigroup</w:t>
      </w:r>
      <w:r>
        <w:rPr>
          <w:sz w:val="20"/>
          <w:szCs w:val="20"/>
          <w:color w:val="auto"/>
        </w:rPr>
        <w:tab/>
      </w:r>
      <w:r>
        <w:rPr>
          <w:rFonts w:ascii="Times New Roman" w:cs="Times New Roman" w:eastAsia="Times New Roman" w:hAnsi="Times New Roman"/>
          <w:sz w:val="29"/>
          <w:szCs w:val="29"/>
          <w:b w:val="1"/>
          <w:bCs w:val="1"/>
          <w:color w:val="auto"/>
        </w:rPr>
        <w:t>Morgan Stanley</w:t>
      </w:r>
      <w:r>
        <w:rPr>
          <w:sz w:val="20"/>
          <w:szCs w:val="20"/>
          <w:color w:val="auto"/>
        </w:rPr>
        <w:tab/>
      </w:r>
      <w:r>
        <w:rPr>
          <w:rFonts w:ascii="Times New Roman" w:cs="Times New Roman" w:eastAsia="Times New Roman" w:hAnsi="Times New Roman"/>
          <w:sz w:val="29"/>
          <w:szCs w:val="29"/>
          <w:b w:val="1"/>
          <w:bCs w:val="1"/>
          <w:color w:val="auto"/>
        </w:rPr>
        <w:t>Deutsche Bank</w:t>
      </w:r>
      <w:r>
        <w:rPr>
          <w:sz w:val="20"/>
          <w:szCs w:val="20"/>
          <w:color w:val="auto"/>
        </w:rPr>
        <w:tab/>
      </w:r>
      <w:r>
        <w:rPr>
          <w:rFonts w:ascii="Times New Roman" w:cs="Times New Roman" w:eastAsia="Times New Roman" w:hAnsi="Times New Roman"/>
          <w:sz w:val="28"/>
          <w:szCs w:val="28"/>
          <w:b w:val="1"/>
          <w:bCs w:val="1"/>
          <w:color w:val="auto"/>
        </w:rPr>
        <w:t>CICC</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5"/>
          <w:szCs w:val="15"/>
          <w:b w:val="1"/>
          <w:bCs w:val="1"/>
          <w:i w:val="1"/>
          <w:iCs w:val="1"/>
          <w:color w:val="auto"/>
        </w:rPr>
        <w:t>(in alphabetical order)</w:t>
      </w:r>
    </w:p>
    <w:p>
      <w:pPr>
        <w:spacing w:after="0" w:line="27" w:lineRule="exact"/>
        <w:rPr>
          <w:sz w:val="20"/>
          <w:szCs w:val="20"/>
          <w:color w:val="auto"/>
        </w:rPr>
      </w:pPr>
    </w:p>
    <w:p>
      <w:pPr>
        <w:ind w:left="1220"/>
        <w:spacing w:after="0"/>
        <w:tabs>
          <w:tab w:leader="none" w:pos="1880" w:val="left"/>
          <w:tab w:leader="none" w:pos="3860" w:val="left"/>
          <w:tab w:leader="none" w:pos="4320" w:val="left"/>
          <w:tab w:leader="none" w:pos="6700" w:val="left"/>
          <w:tab w:leader="none" w:pos="7440" w:val="left"/>
          <w:tab w:leader="none" w:pos="9480" w:val="left"/>
        </w:tabs>
        <w:rPr>
          <w:sz w:val="20"/>
          <w:szCs w:val="20"/>
          <w:color w:val="auto"/>
        </w:rPr>
      </w:pP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2"/>
          <w:szCs w:val="22"/>
          <w:b w:val="1"/>
          <w:bCs w:val="1"/>
          <w:color w:val="auto"/>
        </w:rPr>
        <w:t>Tiger Brokers</w:t>
      </w:r>
      <w:r>
        <w:rPr>
          <w:sz w:val="20"/>
          <w:szCs w:val="20"/>
          <w:color w:val="auto"/>
        </w:rPr>
        <w:tab/>
      </w:r>
      <w:r>
        <w:rPr>
          <w:rFonts w:ascii="Times New Roman" w:cs="Times New Roman" w:eastAsia="Times New Roman" w:hAnsi="Times New Roman"/>
          <w:sz w:val="22"/>
          <w:szCs w:val="22"/>
          <w:b w:val="1"/>
          <w:bCs w:val="1"/>
          <w:color w:val="auto"/>
        </w:rPr>
        <w:t>​ ​</w:t>
        <w:tab/>
        <w:t>Moomoo Financial Inc.</w:t>
        <w:tab/>
        <w:t>​ ​</w:t>
      </w:r>
      <w:r>
        <w:rPr>
          <w:sz w:val="20"/>
          <w:szCs w:val="20"/>
          <w:color w:val="auto"/>
        </w:rPr>
        <w:tab/>
      </w:r>
      <w:r>
        <w:rPr>
          <w:rFonts w:ascii="Times New Roman" w:cs="Times New Roman" w:eastAsia="Times New Roman" w:hAnsi="Times New Roman"/>
          <w:sz w:val="22"/>
          <w:szCs w:val="22"/>
          <w:b w:val="1"/>
          <w:bCs w:val="1"/>
          <w:color w:val="auto"/>
        </w:rPr>
        <w:t>Valuable Capital</w:t>
      </w:r>
      <w:r>
        <w:rPr>
          <w:sz w:val="20"/>
          <w:szCs w:val="20"/>
          <w:color w:val="auto"/>
        </w:rPr>
        <w:tab/>
      </w:r>
      <w:r>
        <w:rPr>
          <w:rFonts w:ascii="Times New Roman" w:cs="Times New Roman" w:eastAsia="Times New Roman" w:hAnsi="Times New Roman"/>
          <w:sz w:val="22"/>
          <w:szCs w:val="22"/>
          <w:b w:val="1"/>
          <w:bCs w:val="1"/>
          <w:color w:val="auto"/>
        </w:rPr>
        <w:t>​</w:t>
      </w:r>
    </w:p>
    <w:p>
      <w:pPr>
        <w:sectPr>
          <w:pgSz w:w="11900" w:h="16838" w:orient="portrait"/>
          <w:cols w:equalWidth="0" w:num="1">
            <w:col w:w="10260"/>
          </w:cols>
          <w:pgMar w:left="580" w:top="97" w:right="1059" w:bottom="1440" w:gutter="0" w:footer="0" w:header="0"/>
        </w:sectPr>
      </w:pPr>
    </w:p>
    <w:p>
      <w:pPr>
        <w:spacing w:after="0" w:line="36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5"/>
          <w:szCs w:val="15"/>
          <w:color w:val="auto"/>
        </w:rPr>
        <w:t>The date of this prospectus is April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240030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-80645</wp:posOffset>
            </wp:positionV>
            <wp:extent cx="7025005" cy="9039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5005" cy="90392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-81280</wp:posOffset>
            </wp:positionV>
            <wp:extent cx="7025005" cy="9039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5005" cy="90398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-81280</wp:posOffset>
            </wp:positionV>
            <wp:extent cx="7025005" cy="9039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5005" cy="90392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-81280</wp:posOffset>
            </wp:positionV>
            <wp:extent cx="7025005" cy="9039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5005" cy="90392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6" w:lineRule="exact"/>
        <w:rPr>
          <w:sz w:val="20"/>
          <w:szCs w:val="20"/>
          <w:color w:val="auto"/>
        </w:rPr>
      </w:pPr>
    </w:p>
    <w:tbl>
      <w:tblPr>
        <w:tblLayout w:type="fixed"/>
        <w:tblInd w:w="1260" w:type="dxa"/>
        <w:tblCellMar>
          <w:top w:w="0" w:type="dxa"/>
          <w:left w:w="0" w:type="dxa"/>
          <w:bottom w:w="0" w:type="dxa"/>
          <w:right w:w="0" w:type="dxa"/>
        </w:tblCellMar>
      </w:tblPr>
      <w:tr>
        <w:trPr>
          <w:trHeight w:val="322"/>
        </w:trPr>
        <w:tc>
          <w:tcPr>
            <w:tcW w:w="676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center"/>
              <w:ind w:left="811"/>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24"/>
                <w:szCs w:val="24"/>
                <w:color w:val="auto"/>
              </w:rPr>
            </w:pP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 xml:space="preserve">Page </w:t>
            </w:r>
            <w:r>
              <w:rPr>
                <w:rFonts w:ascii="Times New Roman" w:cs="Times New Roman" w:eastAsia="Times New Roman" w:hAnsi="Times New Roman"/>
                <w:sz w:val="28"/>
                <w:szCs w:val="28"/>
                <w:b w:val="1"/>
                <w:bCs w:val="1"/>
                <w:color w:val="auto"/>
                <w:w w:val="92"/>
                <w:vertAlign w:val="subscript"/>
              </w:rPr>
              <w:t>​</w:t>
            </w:r>
          </w:p>
        </w:tc>
      </w:tr>
      <w:tr>
        <w:trPr>
          <w:trHeight w:val="20"/>
        </w:trPr>
        <w:tc>
          <w:tcPr>
            <w:tcW w:w="5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209"/>
        </w:trPr>
        <w:tc>
          <w:tcPr>
            <w:tcW w:w="676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1040" w:type="dxa"/>
            <w:vAlign w:val="bottom"/>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09"/>
        </w:trPr>
        <w:tc>
          <w:tcPr>
            <w:tcW w:w="15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The Offering</w:t>
            </w:r>
          </w:p>
        </w:tc>
        <w:tc>
          <w:tcPr>
            <w:tcW w:w="5180" w:type="dxa"/>
            <w:vAlign w:val="bottom"/>
            <w:gridSpan w:val="13"/>
          </w:tcPr>
          <w:p>
            <w:pPr>
              <w:spacing w:after="0"/>
              <w:rPr>
                <w:sz w:val="18"/>
                <w:szCs w:val="18"/>
                <w:color w:val="auto"/>
              </w:rPr>
            </w:pPr>
          </w:p>
        </w:tc>
        <w:tc>
          <w:tcPr>
            <w:tcW w:w="104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3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Our Summary Consolidated Financial and Operating Data</w:t>
            </w:r>
          </w:p>
        </w:tc>
        <w:tc>
          <w:tcPr>
            <w:tcW w:w="238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20</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09"/>
        </w:trPr>
        <w:tc>
          <w:tcPr>
            <w:tcW w:w="43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380" w:type="dxa"/>
            <w:vAlign w:val="bottom"/>
            <w:gridSpan w:val="2"/>
          </w:tcPr>
          <w:p>
            <w:pPr>
              <w:spacing w:after="0"/>
              <w:rPr>
                <w:sz w:val="18"/>
                <w:szCs w:val="18"/>
                <w:color w:val="auto"/>
              </w:rPr>
            </w:pPr>
          </w:p>
        </w:tc>
        <w:tc>
          <w:tcPr>
            <w:tcW w:w="104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47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0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69</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10"/>
        </w:trPr>
        <w:tc>
          <w:tcPr>
            <w:tcW w:w="1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3500" w:type="dxa"/>
            <w:vAlign w:val="bottom"/>
            <w:gridSpan w:val="14"/>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76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Dividend Policy</w:t>
            </w:r>
          </w:p>
        </w:tc>
        <w:tc>
          <w:tcPr>
            <w:tcW w:w="1040" w:type="dxa"/>
            <w:vAlign w:val="bottom"/>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10"/>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Capitalization</w:t>
            </w:r>
          </w:p>
        </w:tc>
        <w:tc>
          <w:tcPr>
            <w:tcW w:w="160" w:type="dxa"/>
            <w:vAlign w:val="bottom"/>
          </w:tcPr>
          <w:p>
            <w:pPr>
              <w:spacing w:after="0"/>
              <w:rPr>
                <w:sz w:val="18"/>
                <w:szCs w:val="18"/>
                <w:color w:val="auto"/>
              </w:rPr>
            </w:pPr>
          </w:p>
        </w:tc>
        <w:tc>
          <w:tcPr>
            <w:tcW w:w="5540" w:type="dxa"/>
            <w:vAlign w:val="bottom"/>
            <w:gridSpan w:val="15"/>
          </w:tcPr>
          <w:p>
            <w:pPr>
              <w:spacing w:after="0"/>
              <w:rPr>
                <w:sz w:val="18"/>
                <w:szCs w:val="18"/>
                <w:color w:val="auto"/>
              </w:rPr>
            </w:pPr>
          </w:p>
        </w:tc>
        <w:tc>
          <w:tcPr>
            <w:tcW w:w="104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06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Dilution</w:t>
            </w:r>
          </w:p>
        </w:tc>
        <w:tc>
          <w:tcPr>
            <w:tcW w:w="5700" w:type="dxa"/>
            <w:vAlign w:val="bottom"/>
            <w:gridSpan w:val="16"/>
            <w:shd w:val="clear" w:color="auto" w:fill="CCEEFF"/>
          </w:tcPr>
          <w:p>
            <w:pPr>
              <w:spacing w:after="0"/>
              <w:rPr>
                <w:sz w:val="18"/>
                <w:szCs w:val="18"/>
                <w:color w:val="auto"/>
              </w:rPr>
            </w:pPr>
          </w:p>
        </w:tc>
        <w:tc>
          <w:tcPr>
            <w:tcW w:w="1040" w:type="dxa"/>
            <w:vAlign w:val="bottom"/>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74</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09"/>
        </w:trPr>
        <w:tc>
          <w:tcPr>
            <w:tcW w:w="67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Enforceability of Civil Liabilities</w:t>
            </w:r>
          </w:p>
        </w:tc>
        <w:tc>
          <w:tcPr>
            <w:tcW w:w="104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76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Our History and Corporate Structure</w:t>
            </w:r>
          </w:p>
        </w:tc>
        <w:tc>
          <w:tcPr>
            <w:tcW w:w="1040" w:type="dxa"/>
            <w:vAlign w:val="bottom"/>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78</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09"/>
        </w:trPr>
        <w:tc>
          <w:tcPr>
            <w:tcW w:w="67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4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4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Industry Overview</w:t>
            </w:r>
          </w:p>
        </w:tc>
        <w:tc>
          <w:tcPr>
            <w:tcW w:w="5340" w:type="dxa"/>
            <w:vAlign w:val="bottom"/>
            <w:gridSpan w:val="14"/>
            <w:shd w:val="clear" w:color="auto" w:fill="CCEEFF"/>
          </w:tcPr>
          <w:p>
            <w:pPr>
              <w:spacing w:after="0"/>
              <w:rPr>
                <w:sz w:val="18"/>
                <w:szCs w:val="18"/>
                <w:color w:val="auto"/>
              </w:rPr>
            </w:pPr>
          </w:p>
        </w:tc>
        <w:tc>
          <w:tcPr>
            <w:tcW w:w="1040" w:type="dxa"/>
            <w:vAlign w:val="bottom"/>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103</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10"/>
        </w:trPr>
        <w:tc>
          <w:tcPr>
            <w:tcW w:w="14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Business</w:t>
            </w:r>
          </w:p>
        </w:tc>
        <w:tc>
          <w:tcPr>
            <w:tcW w:w="5340" w:type="dxa"/>
            <w:vAlign w:val="bottom"/>
            <w:gridSpan w:val="14"/>
          </w:tcPr>
          <w:p>
            <w:pPr>
              <w:spacing w:after="0"/>
              <w:rPr>
                <w:sz w:val="18"/>
                <w:szCs w:val="18"/>
                <w:color w:val="auto"/>
              </w:rPr>
            </w:pPr>
          </w:p>
        </w:tc>
        <w:tc>
          <w:tcPr>
            <w:tcW w:w="104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76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Regulation</w:t>
            </w:r>
          </w:p>
        </w:tc>
        <w:tc>
          <w:tcPr>
            <w:tcW w:w="1040" w:type="dxa"/>
            <w:vAlign w:val="bottom"/>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10"/>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5"/>
              </w:rPr>
              <w:t>Management</w:t>
            </w:r>
          </w:p>
        </w:tc>
        <w:tc>
          <w:tcPr>
            <w:tcW w:w="5820" w:type="dxa"/>
            <w:vAlign w:val="bottom"/>
            <w:gridSpan w:val="17"/>
          </w:tcPr>
          <w:p>
            <w:pPr>
              <w:spacing w:after="0"/>
              <w:rPr>
                <w:sz w:val="18"/>
                <w:szCs w:val="18"/>
                <w:color w:val="auto"/>
              </w:rPr>
            </w:pPr>
          </w:p>
        </w:tc>
        <w:tc>
          <w:tcPr>
            <w:tcW w:w="104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7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Principal Shareholders</w:t>
            </w:r>
          </w:p>
        </w:tc>
        <w:tc>
          <w:tcPr>
            <w:tcW w:w="5040" w:type="dxa"/>
            <w:vAlign w:val="bottom"/>
            <w:gridSpan w:val="12"/>
            <w:shd w:val="clear" w:color="auto" w:fill="CCEEFF"/>
          </w:tcPr>
          <w:p>
            <w:pPr>
              <w:spacing w:after="0"/>
              <w:rPr>
                <w:sz w:val="18"/>
                <w:szCs w:val="18"/>
                <w:color w:val="auto"/>
              </w:rPr>
            </w:pPr>
          </w:p>
        </w:tc>
        <w:tc>
          <w:tcPr>
            <w:tcW w:w="1040" w:type="dxa"/>
            <w:vAlign w:val="bottom"/>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154</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09"/>
        </w:trPr>
        <w:tc>
          <w:tcPr>
            <w:tcW w:w="67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Related Party Transactions</w:t>
            </w:r>
          </w:p>
        </w:tc>
        <w:tc>
          <w:tcPr>
            <w:tcW w:w="104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1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Share Capital</w:t>
            </w:r>
          </w:p>
        </w:tc>
        <w:tc>
          <w:tcPr>
            <w:tcW w:w="4600" w:type="dxa"/>
            <w:vAlign w:val="bottom"/>
            <w:gridSpan w:val="10"/>
            <w:shd w:val="clear" w:color="auto" w:fill="CCEEFF"/>
          </w:tcPr>
          <w:p>
            <w:pPr>
              <w:spacing w:after="0"/>
              <w:rPr>
                <w:sz w:val="18"/>
                <w:szCs w:val="18"/>
                <w:color w:val="auto"/>
              </w:rPr>
            </w:pPr>
          </w:p>
        </w:tc>
        <w:tc>
          <w:tcPr>
            <w:tcW w:w="1040" w:type="dxa"/>
            <w:vAlign w:val="bottom"/>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158</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09"/>
        </w:trPr>
        <w:tc>
          <w:tcPr>
            <w:tcW w:w="33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3460" w:type="dxa"/>
            <w:vAlign w:val="bottom"/>
            <w:gridSpan w:val="4"/>
          </w:tcPr>
          <w:p>
            <w:pPr>
              <w:spacing w:after="0"/>
              <w:rPr>
                <w:sz w:val="18"/>
                <w:szCs w:val="18"/>
                <w:color w:val="auto"/>
              </w:rPr>
            </w:pPr>
          </w:p>
        </w:tc>
        <w:tc>
          <w:tcPr>
            <w:tcW w:w="104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3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Shares Eligible for Future Sale</w:t>
            </w:r>
          </w:p>
        </w:tc>
        <w:tc>
          <w:tcPr>
            <w:tcW w:w="960" w:type="dxa"/>
            <w:vAlign w:val="bottom"/>
            <w:gridSpan w:val="5"/>
            <w:shd w:val="clear" w:color="auto" w:fill="CCEEFF"/>
          </w:tcPr>
          <w:p>
            <w:pPr>
              <w:spacing w:after="0"/>
              <w:rPr>
                <w:sz w:val="18"/>
                <w:szCs w:val="18"/>
                <w:color w:val="auto"/>
              </w:rPr>
            </w:pPr>
          </w:p>
        </w:tc>
        <w:tc>
          <w:tcPr>
            <w:tcW w:w="3460" w:type="dxa"/>
            <w:vAlign w:val="bottom"/>
            <w:gridSpan w:val="4"/>
            <w:shd w:val="clear" w:color="auto" w:fill="CCEEFF"/>
          </w:tcPr>
          <w:p>
            <w:pPr>
              <w:spacing w:after="0"/>
              <w:rPr>
                <w:sz w:val="18"/>
                <w:szCs w:val="18"/>
                <w:color w:val="auto"/>
              </w:rPr>
            </w:pPr>
          </w:p>
        </w:tc>
        <w:tc>
          <w:tcPr>
            <w:tcW w:w="1040" w:type="dxa"/>
            <w:vAlign w:val="bottom"/>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180</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09"/>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Taxation</w:t>
            </w:r>
          </w:p>
        </w:tc>
        <w:tc>
          <w:tcPr>
            <w:tcW w:w="1680" w:type="dxa"/>
            <w:vAlign w:val="bottom"/>
            <w:gridSpan w:val="10"/>
          </w:tcPr>
          <w:p>
            <w:pPr>
              <w:spacing w:after="0"/>
              <w:rPr>
                <w:sz w:val="18"/>
                <w:szCs w:val="18"/>
                <w:color w:val="auto"/>
              </w:rPr>
            </w:pPr>
          </w:p>
        </w:tc>
        <w:tc>
          <w:tcPr>
            <w:tcW w:w="4420" w:type="dxa"/>
            <w:vAlign w:val="bottom"/>
            <w:gridSpan w:val="9"/>
          </w:tcPr>
          <w:p>
            <w:pPr>
              <w:spacing w:after="0"/>
              <w:rPr>
                <w:sz w:val="18"/>
                <w:szCs w:val="18"/>
                <w:color w:val="auto"/>
              </w:rPr>
            </w:pPr>
          </w:p>
        </w:tc>
        <w:tc>
          <w:tcPr>
            <w:tcW w:w="104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06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Underwriting</w:t>
            </w:r>
          </w:p>
        </w:tc>
        <w:tc>
          <w:tcPr>
            <w:tcW w:w="5700" w:type="dxa"/>
            <w:vAlign w:val="bottom"/>
            <w:gridSpan w:val="16"/>
            <w:shd w:val="clear" w:color="auto" w:fill="CCEEFF"/>
          </w:tcPr>
          <w:p>
            <w:pPr>
              <w:spacing w:after="0"/>
              <w:rPr>
                <w:sz w:val="18"/>
                <w:szCs w:val="18"/>
                <w:color w:val="auto"/>
              </w:rPr>
            </w:pPr>
          </w:p>
        </w:tc>
        <w:tc>
          <w:tcPr>
            <w:tcW w:w="1040" w:type="dxa"/>
            <w:vAlign w:val="bottom"/>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188</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23"/>
        </w:trPr>
        <w:tc>
          <w:tcPr>
            <w:tcW w:w="67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Expenses Relating to this Offering</w:t>
            </w:r>
          </w:p>
        </w:tc>
        <w:tc>
          <w:tcPr>
            <w:tcW w:w="104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06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1540" w:type="dxa"/>
            <w:vAlign w:val="bottom"/>
            <w:gridSpan w:val="9"/>
            <w:shd w:val="clear" w:color="auto" w:fill="CCEEFF"/>
          </w:tcPr>
          <w:p>
            <w:pPr>
              <w:spacing w:after="0"/>
              <w:rPr>
                <w:sz w:val="19"/>
                <w:szCs w:val="19"/>
                <w:color w:val="auto"/>
              </w:rPr>
            </w:pPr>
          </w:p>
        </w:tc>
        <w:tc>
          <w:tcPr>
            <w:tcW w:w="4160" w:type="dxa"/>
            <w:vAlign w:val="bottom"/>
            <w:gridSpan w:val="7"/>
            <w:shd w:val="clear" w:color="auto" w:fill="CCEEFF"/>
          </w:tcPr>
          <w:p>
            <w:pPr>
              <w:spacing w:after="0"/>
              <w:rPr>
                <w:sz w:val="19"/>
                <w:szCs w:val="19"/>
                <w:color w:val="auto"/>
              </w:rPr>
            </w:pPr>
          </w:p>
        </w:tc>
        <w:tc>
          <w:tcPr>
            <w:tcW w:w="1040" w:type="dxa"/>
            <w:vAlign w:val="bottom"/>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203</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0000EE"/>
                <w:w w:val="98"/>
              </w:rPr>
              <w:t>Experts</w:t>
            </w:r>
          </w:p>
        </w:tc>
        <w:tc>
          <w:tcPr>
            <w:tcW w:w="480" w:type="dxa"/>
            <w:vAlign w:val="bottom"/>
            <w:gridSpan w:val="4"/>
          </w:tcPr>
          <w:p>
            <w:pPr>
              <w:spacing w:after="0"/>
              <w:rPr>
                <w:sz w:val="19"/>
                <w:szCs w:val="19"/>
                <w:color w:val="auto"/>
              </w:rPr>
            </w:pPr>
          </w:p>
        </w:tc>
        <w:tc>
          <w:tcPr>
            <w:tcW w:w="5700" w:type="dxa"/>
            <w:vAlign w:val="bottom"/>
            <w:gridSpan w:val="16"/>
          </w:tcPr>
          <w:p>
            <w:pPr>
              <w:spacing w:after="0"/>
              <w:rPr>
                <w:sz w:val="19"/>
                <w:szCs w:val="19"/>
                <w:color w:val="auto"/>
              </w:rPr>
            </w:pPr>
          </w:p>
        </w:tc>
        <w:tc>
          <w:tcPr>
            <w:tcW w:w="104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34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3360" w:type="dxa"/>
            <w:vAlign w:val="bottom"/>
            <w:tcBorders>
              <w:left w:val="single" w:sz="8" w:color="CCEEFF"/>
            </w:tcBorders>
            <w:gridSpan w:val="3"/>
            <w:shd w:val="clear" w:color="auto" w:fill="CCEEFF"/>
          </w:tcPr>
          <w:p>
            <w:pPr>
              <w:spacing w:after="0"/>
              <w:rPr>
                <w:sz w:val="19"/>
                <w:szCs w:val="19"/>
                <w:color w:val="auto"/>
              </w:rPr>
            </w:pPr>
          </w:p>
        </w:tc>
        <w:tc>
          <w:tcPr>
            <w:tcW w:w="1040" w:type="dxa"/>
            <w:vAlign w:val="bottom"/>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205</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23"/>
        </w:trPr>
        <w:tc>
          <w:tcPr>
            <w:tcW w:w="34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360" w:type="dxa"/>
            <w:vAlign w:val="bottom"/>
            <w:gridSpan w:val="3"/>
          </w:tcPr>
          <w:p>
            <w:pPr>
              <w:spacing w:after="0"/>
              <w:rPr>
                <w:sz w:val="19"/>
                <w:szCs w:val="19"/>
                <w:color w:val="auto"/>
              </w:rPr>
            </w:pPr>
          </w:p>
        </w:tc>
        <w:tc>
          <w:tcPr>
            <w:tcW w:w="104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29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Consolidated Financial Statements</w:t>
            </w:r>
          </w:p>
        </w:tc>
        <w:tc>
          <w:tcPr>
            <w:tcW w:w="440" w:type="dxa"/>
            <w:vAlign w:val="bottom"/>
            <w:gridSpan w:val="2"/>
            <w:shd w:val="clear" w:color="auto" w:fill="CCEEFF"/>
          </w:tcPr>
          <w:p>
            <w:pPr>
              <w:spacing w:after="0"/>
              <w:rPr>
                <w:sz w:val="19"/>
                <w:szCs w:val="19"/>
                <w:color w:val="auto"/>
              </w:rPr>
            </w:pPr>
          </w:p>
        </w:tc>
        <w:tc>
          <w:tcPr>
            <w:tcW w:w="3360" w:type="dxa"/>
            <w:vAlign w:val="bottom"/>
            <w:tcBorders>
              <w:left w:val="single" w:sz="8" w:color="CCEEFF"/>
            </w:tcBorders>
            <w:gridSpan w:val="3"/>
            <w:shd w:val="clear" w:color="auto" w:fill="CCEEFF"/>
          </w:tcPr>
          <w:p>
            <w:pPr>
              <w:spacing w:after="0"/>
              <w:rPr>
                <w:sz w:val="19"/>
                <w:szCs w:val="19"/>
                <w:color w:val="auto"/>
              </w:rPr>
            </w:pPr>
          </w:p>
        </w:tc>
        <w:tc>
          <w:tcPr>
            <w:tcW w:w="1040" w:type="dxa"/>
            <w:vAlign w:val="bottom"/>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-4285615</wp:posOffset>
            </wp:positionV>
            <wp:extent cx="4997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7450" cy="82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162560</wp:posOffset>
            </wp:positionV>
            <wp:extent cx="1234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3" w:lineRule="exact"/>
        <w:rPr>
          <w:sz w:val="20"/>
          <w:szCs w:val="20"/>
          <w:color w:val="auto"/>
        </w:rPr>
      </w:pPr>
    </w:p>
    <w:p>
      <w:pPr>
        <w:jc w:val="both"/>
        <w:ind w:left="1260" w:right="419" w:firstLine="360"/>
        <w:spacing w:after="0" w:line="239" w:lineRule="auto"/>
        <w:rPr>
          <w:sz w:val="20"/>
          <w:szCs w:val="20"/>
          <w:color w:val="auto"/>
        </w:rPr>
      </w:pPr>
      <w:r>
        <w:rPr>
          <w:rFonts w:ascii="Times New Roman" w:cs="Times New Roman" w:eastAsia="Times New Roman" w:hAnsi="Times New Roman"/>
          <w:sz w:val="18"/>
          <w:szCs w:val="18"/>
          <w:color w:val="auto"/>
        </w:rPr>
        <w:t>No dealer, salesperson or other person is authorized to give any information or to represent anything not contained in this prospectus or in any free writing prospectus we may authorize to be delivered or made available to you. You must not rely on any unauthorized information or representations. This prospectus is an offer to sell only the ADSs offered hereby, and only under circumstances and in jurisdictions where it is lawful to do so. The information contained in this prospectus is current only as of its date.</w:t>
      </w:r>
    </w:p>
    <w:p>
      <w:pPr>
        <w:spacing w:after="0" w:line="49"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Neither we nor any of the underwriters has done anything that would permit this offering or possession or distribution of this prospectus or any filed free writing prospectus in any jurisdiction where action for that purpose is required, other than in the United States. Persons outside the United States who come into possession of this prospectus or any free writing prospectus must inform themselves about, and observe any restrictions relating to, the offering of the ADSs and the distribution of this prospectus or any free writing prospectus outside of the United States.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ADSs representing our Class A ordinary shares.</w:t>
      </w:r>
    </w:p>
    <w:p>
      <w:pPr>
        <w:spacing w:after="0" w:line="52"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Our business, financial condition, results of operations and prospects may have changed since the date on the front cover of this prospectus.</w:t>
      </w:r>
    </w:p>
    <w:p>
      <w:pPr>
        <w:jc w:val="both"/>
        <w:ind w:left="1260" w:right="399" w:firstLine="360"/>
        <w:spacing w:after="0" w:line="236" w:lineRule="auto"/>
        <w:rPr>
          <w:sz w:val="20"/>
          <w:szCs w:val="20"/>
          <w:color w:val="auto"/>
        </w:rPr>
      </w:pPr>
      <w:r>
        <w:rPr>
          <w:rFonts w:ascii="Times New Roman" w:cs="Times New Roman" w:eastAsia="Times New Roman" w:hAnsi="Times New Roman"/>
          <w:sz w:val="18"/>
          <w:szCs w:val="18"/>
          <w:b w:val="1"/>
          <w:bCs w:val="1"/>
          <w:color w:val="auto"/>
        </w:rPr>
        <w:t>Until May 11, 2025 (the 25</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day after the date of this prospectus), all dealers that buy, sell or trade the ADSs, whether or not participating in this offering, may be required to deliver a prospectus. This is in addition to the obligation of dealers to deliver a prospectus when acting as underwriters and with respect to their unsold allotments or subscriptions.</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289560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jc w:val="both"/>
        <w:ind w:left="1280" w:right="3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and the related notes appearing elsewhere in this prospectus. In addition to this summary, we urge you to read the entire prospectus carefully, especially the risks of investing in the ADSs discussed under “Risk Factors,” “Business,” and information contained in “Management’s Discussion and Analysis of Financial Condition and Results of Operations” before deciding whether to buy the ADSs. This prospectus contains certain information from an industry report commissioned by us and prepared by Shanghai iResearch Co., Ltd., or iResearch, a third-party industry research firm.</w:t>
      </w:r>
    </w:p>
    <w:p>
      <w:pPr>
        <w:spacing w:after="0" w:line="3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With every cup of our tea, we aspire to foster a global connection of people and cultures.</w:t>
      </w: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Vision</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To modernize the tea-drinking experience through technology and innovation.</w:t>
      </w: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Core Values</w:t>
      </w:r>
    </w:p>
    <w:p>
      <w:pPr>
        <w:spacing w:after="0" w:line="14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“Customer First” is the foundational philosophy of how we make decisions and run our business.</w:t>
      </w:r>
    </w:p>
    <w:p>
      <w:pPr>
        <w:spacing w:after="0" w:line="158" w:lineRule="exact"/>
        <w:rPr>
          <w:sz w:val="20"/>
          <w:szCs w:val="20"/>
          <w:color w:val="auto"/>
        </w:rPr>
      </w:pPr>
    </w:p>
    <w:p>
      <w:pPr>
        <w:jc w:val="both"/>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“Caring for Partners” is the core value that defines how we interact with consumers, franchise partners, suppliers, and employees.</w:t>
      </w:r>
    </w:p>
    <w:p>
      <w:pPr>
        <w:spacing w:after="0" w:line="9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“Quality, Health, and Convenience” is the guiding principle of how we make our products.</w:t>
      </w: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48" w:lineRule="exact"/>
        <w:rPr>
          <w:sz w:val="20"/>
          <w:szCs w:val="20"/>
          <w:color w:val="auto"/>
        </w:rPr>
      </w:pPr>
    </w:p>
    <w:p>
      <w:pPr>
        <w:jc w:val="both"/>
        <w:ind w:left="1280" w:right="399" w:firstLine="360"/>
        <w:spacing w:after="0" w:line="270" w:lineRule="auto"/>
        <w:rPr>
          <w:sz w:val="20"/>
          <w:szCs w:val="20"/>
          <w:color w:val="auto"/>
        </w:rPr>
      </w:pPr>
      <w:r>
        <w:rPr>
          <w:rFonts w:ascii="Times New Roman" w:cs="Times New Roman" w:eastAsia="Times New Roman" w:hAnsi="Times New Roman"/>
          <w:sz w:val="18"/>
          <w:szCs w:val="18"/>
          <w:color w:val="auto"/>
        </w:rPr>
        <w:t>CHAGEE is a leading premium tea drinks brand, serving healthy and delicious freshly-made tea drinks. Its creation, in 2017, was inspired by how international coffee chains have made coffee drinking both a worldwide lifestyle and a social concept since the 1970s. This success has made us believe that tea drinking needs to be transformed too — and led us to use the power of technology and brand to make tea drinking a modern-day experience that connects people and cultures around the world.</w:t>
      </w:r>
    </w:p>
    <w:p>
      <w:pPr>
        <w:spacing w:after="0" w:line="105" w:lineRule="exact"/>
        <w:rPr>
          <w:sz w:val="20"/>
          <w:szCs w:val="20"/>
          <w:color w:val="auto"/>
        </w:rPr>
      </w:pPr>
    </w:p>
    <w:p>
      <w:pPr>
        <w:jc w:val="both"/>
        <w:ind w:left="1280" w:right="399" w:firstLine="360"/>
        <w:spacing w:after="0" w:line="281" w:lineRule="auto"/>
        <w:rPr>
          <w:sz w:val="20"/>
          <w:szCs w:val="20"/>
          <w:color w:val="auto"/>
        </w:rPr>
      </w:pPr>
      <w:r>
        <w:rPr>
          <w:rFonts w:ascii="Times New Roman" w:cs="Times New Roman" w:eastAsia="Times New Roman" w:hAnsi="Times New Roman"/>
          <w:sz w:val="18"/>
          <w:szCs w:val="18"/>
          <w:color w:val="auto"/>
        </w:rPr>
        <w:t>Today, nearly eight years after our inception and with our relentless passion for technology and pursuit of innovation, we stand out as China’s largest, fastest-growing, and most popular premium freshly-made tea drinks brand, according to iResearch:</w:t>
      </w:r>
    </w:p>
    <w:p>
      <w:pPr>
        <w:spacing w:after="0" w:line="83" w:lineRule="exact"/>
        <w:rPr>
          <w:sz w:val="20"/>
          <w:szCs w:val="20"/>
          <w:color w:val="auto"/>
        </w:rPr>
      </w:pPr>
    </w:p>
    <w:p>
      <w:pPr>
        <w:jc w:val="both"/>
        <w:ind w:left="1820" w:right="399" w:hanging="182"/>
        <w:spacing w:after="0" w:line="266"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our network comprised 6,440 teahouses, including 6,284 located in China. This scale represents the largest store network among all premium freshly-made tea drinks brands in China.</w:t>
      </w:r>
    </w:p>
    <w:p>
      <w:pPr>
        <w:spacing w:after="0" w:line="81" w:lineRule="exact"/>
        <w:rPr>
          <w:rFonts w:ascii="Times New Roman" w:cs="Times New Roman" w:eastAsia="Times New Roman" w:hAnsi="Times New Roman"/>
          <w:sz w:val="18"/>
          <w:szCs w:val="18"/>
          <w:color w:val="auto"/>
        </w:rPr>
      </w:pPr>
    </w:p>
    <w:p>
      <w:pPr>
        <w:jc w:val="both"/>
        <w:ind w:left="1820" w:right="399" w:hanging="182"/>
        <w:spacing w:after="0" w:line="263"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and 2024, our total GMV generated in China and overseas reached RMB10.8 billion and RMB29.5 billion, respectively. As measured by GMV generated within China, we recorded the fastest growth from 2022 to 2024 among all freshly-made tea drinks brands with over 1,000 stores in China.</w:t>
      </w:r>
    </w:p>
    <w:p>
      <w:pPr>
        <w:spacing w:after="0" w:line="283" w:lineRule="exact"/>
        <w:rPr>
          <w:rFonts w:ascii="Times New Roman" w:cs="Times New Roman" w:eastAsia="Times New Roman" w:hAnsi="Times New Roman"/>
          <w:sz w:val="18"/>
          <w:szCs w:val="18"/>
          <w:color w:val="auto"/>
        </w:rPr>
      </w:pPr>
    </w:p>
    <w:p>
      <w:pPr>
        <w:ind w:left="1820" w:right="399" w:hanging="182"/>
        <w:spacing w:after="0" w:line="236"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ranked the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on China’s social influence index among all freshly-made tea drinks brands in China since October 2023, according to the Social Touch Search Engine.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93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Notes:</w:t>
      </w:r>
    </w:p>
    <w:p>
      <w:pPr>
        <w:spacing w:after="0" w:line="113" w:lineRule="exact"/>
        <w:rPr>
          <w:sz w:val="20"/>
          <w:szCs w:val="20"/>
          <w:color w:val="auto"/>
        </w:rPr>
      </w:pPr>
    </w:p>
    <w:p>
      <w:pPr>
        <w:jc w:val="both"/>
        <w:ind w:left="1640" w:right="399" w:hanging="362"/>
        <w:spacing w:after="0" w:line="292" w:lineRule="auto"/>
        <w:tabs>
          <w:tab w:leader="none" w:pos="1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(i) the sum of GMV generated by the monthly fully operational teahouses in China in each calendar month during the year ended December 31, 2024 by (ii) the sum of the total number of monthly fully operational teahouses in China in each calendar month during the year ended December 31, 2024.</w:t>
      </w:r>
    </w:p>
    <w:p>
      <w:pPr>
        <w:spacing w:after="0" w:line="33" w:lineRule="exact"/>
        <w:rPr>
          <w:rFonts w:ascii="Times New Roman" w:cs="Times New Roman" w:eastAsia="Times New Roman" w:hAnsi="Times New Roman"/>
          <w:sz w:val="14"/>
          <w:szCs w:val="14"/>
          <w:color w:val="auto"/>
        </w:rPr>
      </w:pPr>
    </w:p>
    <w:p>
      <w:pPr>
        <w:jc w:val="both"/>
        <w:ind w:left="1640" w:right="399" w:hanging="362"/>
        <w:spacing w:after="0" w:line="292" w:lineRule="auto"/>
        <w:tabs>
          <w:tab w:leader="none" w:pos="1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(i) the sum of the number of cups sold by the monthly fully operational teahouses in China in each calendar month during the year ended December 31, 2024 by (ii) the sum of the total number of monthly fully operational teahouses in China in each calendar month during the year ended December 31, 2024.</w:t>
      </w:r>
    </w:p>
    <w:p>
      <w:pPr>
        <w:spacing w:after="0" w:line="15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Universally Appealing Core Menu</w:t>
      </w:r>
    </w:p>
    <w:p>
      <w:pPr>
        <w:spacing w:after="0" w:line="162"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At CHAGEE, we persistently explore and create tea drink recipes that embody purity and a timeless appeal to the diverse palates of a broad spectrum of consumers. This strategic focus anchors the development of our simple core menu.</w:t>
      </w:r>
    </w:p>
    <w:p>
      <w:pPr>
        <w:spacing w:after="0" w:line="108" w:lineRule="exact"/>
        <w:rPr>
          <w:sz w:val="20"/>
          <w:szCs w:val="20"/>
          <w:color w:val="auto"/>
        </w:rPr>
      </w:pPr>
    </w:p>
    <w:p>
      <w:pPr>
        <w:jc w:val="both"/>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We use advanced extraction technology to accentuate the pure taste of tea and enhance its depth of flavor through meticulous blending. This technique results in a differentiated, delicious taste of freshness and healthiness that has the ability to transcend time and cultures, captivating consumers worldwide. In 2022, 2023 and 2024, approximately 79%, 87% and 91% of CHAGEE’s GMV generated within China, respectively, were attributed to our signature tea latte products, with approximately 44%, 57% and 61% of GMV generated within China derived from our top three best-selling tea lattes.</w:t>
      </w:r>
    </w:p>
    <w:p>
      <w:pPr>
        <w:spacing w:after="0" w:line="106" w:lineRule="exact"/>
        <w:rPr>
          <w:sz w:val="20"/>
          <w:szCs w:val="20"/>
          <w:color w:val="auto"/>
        </w:rPr>
      </w:pPr>
    </w:p>
    <w:p>
      <w:pPr>
        <w:jc w:val="both"/>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Focusing on a simple core menu also makes it easier for us to ensure product quality, consistency, and convenience through more concentrated, streamlined, and efficient supply chain management as well as highly automated tea preparation processes. This ultimately leads to improved operational efficiency and service quality of our expansive teahouse network.</w:t>
      </w:r>
    </w:p>
    <w:p>
      <w:pPr>
        <w:spacing w:after="0" w:line="17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Modernity Powered by Technology</w:t>
      </w:r>
    </w:p>
    <w:p>
      <w:pPr>
        <w:spacing w:after="0" w:line="162" w:lineRule="exact"/>
        <w:rPr>
          <w:sz w:val="20"/>
          <w:szCs w:val="20"/>
          <w:color w:val="auto"/>
        </w:rPr>
      </w:pPr>
    </w:p>
    <w:p>
      <w:pPr>
        <w:jc w:val="both"/>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We are committed to operational efficiency and excellence, which is underpinned by our cutting-edge “tea tech” initiatives. Using digital and automation technologies, we empower every crucial aspect of our operations, from product development to supply chain management, and from consumer engagement to storefront operations.</w:t>
      </w:r>
    </w:p>
    <w:p>
      <w:pPr>
        <w:spacing w:after="0" w:line="112" w:lineRule="exact"/>
        <w:rPr>
          <w:sz w:val="20"/>
          <w:szCs w:val="20"/>
          <w:color w:val="auto"/>
        </w:rPr>
      </w:pPr>
    </w:p>
    <w:p>
      <w:pPr>
        <w:jc w:val="both"/>
        <w:ind w:left="1280" w:right="399" w:firstLine="360"/>
        <w:spacing w:after="0" w:line="263" w:lineRule="auto"/>
        <w:rPr>
          <w:sz w:val="20"/>
          <w:szCs w:val="20"/>
          <w:color w:val="auto"/>
        </w:rPr>
      </w:pPr>
      <w:r>
        <w:rPr>
          <w:rFonts w:ascii="Times New Roman" w:cs="Times New Roman" w:eastAsia="Times New Roman" w:hAnsi="Times New Roman"/>
          <w:sz w:val="18"/>
          <w:szCs w:val="18"/>
          <w:color w:val="auto"/>
        </w:rPr>
        <w:t>We collaborate creatively with our supply chain partners to co-develop automated tea-making machines, heralding the modernization of the century-old tea industry. The application of customized equipment allows our in-store crew to make every cup of CHAGEE drink with consistent quality and taste. Across our teahouses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328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6245" cy="8328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419"/>
        <w:spacing w:after="0" w:line="282" w:lineRule="auto"/>
        <w:rPr>
          <w:sz w:val="20"/>
          <w:szCs w:val="20"/>
          <w:color w:val="auto"/>
        </w:rPr>
      </w:pPr>
      <w:r>
        <w:rPr>
          <w:rFonts w:ascii="Times New Roman" w:cs="Times New Roman" w:eastAsia="Times New Roman" w:hAnsi="Times New Roman"/>
          <w:sz w:val="18"/>
          <w:szCs w:val="18"/>
          <w:color w:val="auto"/>
        </w:rPr>
        <w:t>in China and overseas, this level of automation allows us to ensure consistent quality control, enhance store productivity, reduce consumer wait times, and ultimately, elevate the overall tea-drinking experience.</w:t>
      </w:r>
    </w:p>
    <w:p>
      <w:pPr>
        <w:spacing w:after="0" w:line="81" w:lineRule="exact"/>
        <w:rPr>
          <w:sz w:val="20"/>
          <w:szCs w:val="20"/>
          <w:color w:val="auto"/>
        </w:rPr>
      </w:pPr>
    </w:p>
    <w:p>
      <w:pPr>
        <w:jc w:val="both"/>
        <w:ind w:left="1280" w:right="399" w:firstLine="360"/>
        <w:spacing w:after="0" w:line="245" w:lineRule="auto"/>
        <w:rPr>
          <w:sz w:val="20"/>
          <w:szCs w:val="20"/>
          <w:color w:val="auto"/>
        </w:rPr>
      </w:pPr>
      <w:r>
        <w:rPr>
          <w:rFonts w:ascii="Times New Roman" w:cs="Times New Roman" w:eastAsia="Times New Roman" w:hAnsi="Times New Roman"/>
          <w:sz w:val="18"/>
          <w:szCs w:val="18"/>
          <w:color w:val="auto"/>
        </w:rPr>
        <w:t>Our strength in digitalization allows us to achieve what we define to be the “Five Things Online” —  drinks preparation, consumer and partner relationships, supply chain, store lifecycle management, and payments. Essentially, this approach enables us and our franchise partners to run teahouses online, with centralized operations, automated replenishment, and fully integrated management of both franchised and company-owned teahouses. The resulting data insights are organically and intelligently fed into digitalized operations, creating a positive feedback loop that fosters more efficient and closer-knit collaborations with our franchise partners.</w:t>
      </w:r>
    </w:p>
    <w:p>
      <w:pPr>
        <w:spacing w:after="0" w:line="325"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The seamless integration of these technologies enables our franchise partners to make better tea drinks for consumers and operate their teahouses smartly and more efficiently. It also allows us and our franchise partners to focus more on consumer services to deliver a compelling experience.</w:t>
      </w:r>
    </w:p>
    <w:p>
      <w:pPr>
        <w:spacing w:after="0" w:line="18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Effectively Managed Teahouse Network</w:t>
      </w:r>
    </w:p>
    <w:p>
      <w:pPr>
        <w:spacing w:after="0" w:line="148" w:lineRule="exact"/>
        <w:rPr>
          <w:sz w:val="20"/>
          <w:szCs w:val="20"/>
          <w:color w:val="auto"/>
        </w:rPr>
      </w:pPr>
    </w:p>
    <w:p>
      <w:pPr>
        <w:jc w:val="both"/>
        <w:ind w:left="1280" w:right="399" w:firstLine="360"/>
        <w:spacing w:after="0" w:line="251" w:lineRule="auto"/>
        <w:rPr>
          <w:sz w:val="20"/>
          <w:szCs w:val="20"/>
          <w:color w:val="auto"/>
        </w:rPr>
      </w:pPr>
      <w:r>
        <w:rPr>
          <w:rFonts w:ascii="Times New Roman" w:cs="Times New Roman" w:eastAsia="Times New Roman" w:hAnsi="Times New Roman"/>
          <w:sz w:val="18"/>
          <w:szCs w:val="18"/>
          <w:color w:val="auto"/>
        </w:rPr>
        <w:t>As of December 31, 2024, our CHAGEE brand encompasses a vast, growing network of 6,440 teahouses, including 6,284 teahouses covering 32 out of 34 province-level divisions across China and 156 teahouses overseas. Of our extensive teahouse network, 6,271 are franchised and 169 are company-owned. We directly manage a total of 398 teahouses, including all of our company-owned teahouses and 229 franchised teahouses.</w:t>
      </w:r>
    </w:p>
    <w:p>
      <w:pPr>
        <w:spacing w:after="0" w:line="322"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We take pride in our strong ability to manage and scale a franchise network both across China and in a growing number of overseas markets. This ability is rooted in our “managed franchise model” that focuses on effective, centralized management of our franchise network in accordance with our uniform standards in product quality, supply chain management, and consumer service excellence.</w:t>
      </w:r>
    </w:p>
    <w:p>
      <w:pPr>
        <w:spacing w:after="0" w:line="110" w:lineRule="exact"/>
        <w:rPr>
          <w:sz w:val="20"/>
          <w:szCs w:val="20"/>
          <w:color w:val="auto"/>
        </w:rPr>
      </w:pPr>
    </w:p>
    <w:p>
      <w:pPr>
        <w:jc w:val="both"/>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Our ability to effectively manage our growing teahouse network is manifest in our strong operating results:</w:t>
      </w:r>
    </w:p>
    <w:p>
      <w:pPr>
        <w:spacing w:after="0" w:line="297" w:lineRule="exact"/>
        <w:rPr>
          <w:sz w:val="20"/>
          <w:szCs w:val="20"/>
          <w:color w:val="auto"/>
        </w:rPr>
      </w:pPr>
    </w:p>
    <w:p>
      <w:pPr>
        <w:ind w:left="1820" w:right="399" w:hanging="182"/>
        <w:spacing w:after="0" w:line="286"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Number of teahouses</w:t>
      </w:r>
      <w:r>
        <w:rPr>
          <w:rFonts w:ascii="Times New Roman" w:cs="Times New Roman" w:eastAsia="Times New Roman" w:hAnsi="Times New Roman"/>
          <w:sz w:val="18"/>
          <w:szCs w:val="18"/>
          <w:color w:val="auto"/>
        </w:rPr>
        <w:t>. The number of our teahouses increased by 83.4% from 3,511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to 6,440 as of December 31, 2024.</w:t>
      </w:r>
    </w:p>
    <w:p>
      <w:pPr>
        <w:spacing w:after="0" w:line="46" w:lineRule="exact"/>
        <w:rPr>
          <w:rFonts w:ascii="Times New Roman" w:cs="Times New Roman" w:eastAsia="Times New Roman" w:hAnsi="Times New Roman"/>
          <w:sz w:val="18"/>
          <w:szCs w:val="18"/>
          <w:color w:val="auto"/>
        </w:rPr>
      </w:pPr>
    </w:p>
    <w:p>
      <w:pPr>
        <w:jc w:val="both"/>
        <w:ind w:left="1820" w:right="399" w:hanging="182"/>
        <w:spacing w:after="0" w:line="268"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GMV</w:t>
      </w:r>
      <w:r>
        <w:rPr>
          <w:rFonts w:ascii="Times New Roman" w:cs="Times New Roman" w:eastAsia="Times New Roman" w:hAnsi="Times New Roman"/>
          <w:sz w:val="18"/>
          <w:szCs w:val="18"/>
          <w:color w:val="auto"/>
        </w:rPr>
        <w:t>. Our total GMV generated in China and overseas increased by 734.3%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RMB1,293.7 million in 2022 to RMB10,792.8 million in 2023, and further increased by 172.9% to RMB29,457.7 million in 2024.</w:t>
      </w:r>
    </w:p>
    <w:p>
      <w:pPr>
        <w:spacing w:after="0" w:line="62" w:lineRule="exact"/>
        <w:rPr>
          <w:rFonts w:ascii="Times New Roman" w:cs="Times New Roman" w:eastAsia="Times New Roman" w:hAnsi="Times New Roman"/>
          <w:sz w:val="18"/>
          <w:szCs w:val="18"/>
          <w:color w:val="auto"/>
        </w:rPr>
      </w:pPr>
    </w:p>
    <w:p>
      <w:pPr>
        <w:jc w:val="both"/>
        <w:ind w:left="1820" w:right="399" w:hanging="182"/>
        <w:spacing w:after="0" w:line="255"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performance</w:t>
      </w:r>
      <w:r>
        <w:rPr>
          <w:rFonts w:ascii="Times New Roman" w:cs="Times New Roman" w:eastAsia="Times New Roman" w:hAnsi="Times New Roman"/>
          <w:sz w:val="18"/>
          <w:szCs w:val="18"/>
          <w:color w:val="auto"/>
        </w:rPr>
        <w:t>. Our net revenues increased by 843.8% to RMB4,640.2 million in 2023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RMB491.7 million in 2022. In 2024, our net revenues amounted to RMB12,405.6 million (US$1,699.6 million), representing a 167.4% year-over-year increase from RMB4,640.2 million in 2023. Although we experienced a net loss of RMB90.7 million in 2022, we achieved a net income of RMB802.6 million in 2023. Our net income increased by 213.3% to RMB2,514.6 million (US$344.5 million) in 2024 from RMB802.6 million in 2023. As of December 31, 2024, we recorded a working capital surplus of RMB3,141.7 million (US$430.4 million), compared to RMB1,193.3 million as of December 31, 2023.</w:t>
      </w:r>
    </w:p>
    <w:p>
      <w:pPr>
        <w:spacing w:after="0" w:line="328" w:lineRule="exact"/>
        <w:rPr>
          <w:sz w:val="20"/>
          <w:szCs w:val="20"/>
          <w:color w:val="auto"/>
        </w:rPr>
      </w:pPr>
    </w:p>
    <w:p>
      <w:pPr>
        <w:jc w:val="both"/>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As we rapidly scale our operation, our teahouses continue to deliver strong performance. Our average number of cups sold per teahouse per month in China increased from 8,981 in 2022 to 25,099 in 2024. The average monthly GMV of our teahouses in China increased from RMB177.5 thousand in 2022 to RMB511.7 thousand in 2024. We continued to expand our teahouse network in the first quarter of 2025, as driven by solid customer demand. As of March 31, 2025, the number of teahouses increased to 6,681 (including 169 teahouses overseas), up from 6,440 as of December 31, 2024. The total GMV generated in China and overseas grew sequentially to RMB8,231 million in the first quarter of 2025 from RMB8,177 million in the fourth quarter of 2024.</w:t>
      </w:r>
    </w:p>
    <w:p>
      <w:pPr>
        <w:spacing w:after="0" w:line="1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Market Opportunities</w:t>
      </w:r>
    </w:p>
    <w:p>
      <w:pPr>
        <w:spacing w:after="0" w:line="162" w:lineRule="exact"/>
        <w:rPr>
          <w:sz w:val="20"/>
          <w:szCs w:val="20"/>
          <w:color w:val="auto"/>
        </w:rPr>
      </w:pPr>
    </w:p>
    <w:p>
      <w:pPr>
        <w:jc w:val="both"/>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The tea drinks market encompasses various consumption scenarios, including (i) freshly -made tea drinks, prepared on-site, (ii) ready-to-drink, or RTD tea drinks, prepackaged and sold in prepared form, and</w:t>
      </w:r>
    </w:p>
    <w:p>
      <w:pPr>
        <w:spacing w:after="0" w:line="1" w:lineRule="exact"/>
        <w:rPr>
          <w:sz w:val="20"/>
          <w:szCs w:val="20"/>
          <w:color w:val="auto"/>
        </w:rPr>
      </w:pPr>
    </w:p>
    <w:p>
      <w:pPr>
        <w:jc w:val="both"/>
        <w:ind w:left="1280" w:right="399" w:hanging="2"/>
        <w:spacing w:after="0" w:line="246" w:lineRule="auto"/>
        <w:tabs>
          <w:tab w:leader="none" w:pos="16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forms of tea consumption, such as tea leaves and tea bags. We operate primarily in the freshly-made tea drinks market, where we cater to consumers by providing tea drinks freshly prepared within our extensive network of teahouses.</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firstLine="360"/>
        <w:spacing w:after="0" w:line="244" w:lineRule="auto"/>
        <w:rPr>
          <w:sz w:val="20"/>
          <w:szCs w:val="20"/>
          <w:color w:val="auto"/>
        </w:rPr>
      </w:pPr>
      <w:r>
        <w:rPr>
          <w:rFonts w:ascii="Times New Roman" w:cs="Times New Roman" w:eastAsia="Times New Roman" w:hAnsi="Times New Roman"/>
          <w:sz w:val="18"/>
          <w:szCs w:val="18"/>
          <w:color w:val="auto"/>
        </w:rPr>
        <w:t>According to iResearch, China’s freshly-made tea drinks market, as measured by GMV, is growing rapidly to enormous scale, at a CAGR of 21.7% from RMB102.2 billion in 2019 to RMB272.7 billion in 2024, and is expected to reach RMB426.0 billion by 2028. In particular, the premium freshly-made tea drinks segment, defined by an average selling price of RMB17.0 (approximately US$2.5) and above per cup, as a proportion of the overall freshly-made tea drinks market increased from 10.9% in 2019 to 25.9% in 2024. This faster growth is mainly driven by consumer demands for higher-quality products, diversified consumption scenarios, and a rising awareness of health benefits. The total GMV of the premium freshly-made tea drinks segment is expected to reach RMB167.1 billion in 2028, accounting for 31.7% of the total freshly-made tea drinks market.</w:t>
      </w:r>
    </w:p>
    <w:p>
      <w:pPr>
        <w:spacing w:after="0" w:line="328" w:lineRule="exact"/>
        <w:rPr>
          <w:sz w:val="20"/>
          <w:szCs w:val="20"/>
          <w:color w:val="auto"/>
        </w:rPr>
      </w:pPr>
    </w:p>
    <w:p>
      <w:pPr>
        <w:jc w:val="both"/>
        <w:ind w:left="1280" w:right="399" w:firstLine="360"/>
        <w:spacing w:after="0" w:line="245" w:lineRule="auto"/>
        <w:rPr>
          <w:sz w:val="20"/>
          <w:szCs w:val="20"/>
          <w:color w:val="auto"/>
        </w:rPr>
      </w:pPr>
      <w:r>
        <w:rPr>
          <w:rFonts w:ascii="Times New Roman" w:cs="Times New Roman" w:eastAsia="Times New Roman" w:hAnsi="Times New Roman"/>
          <w:sz w:val="18"/>
          <w:szCs w:val="18"/>
          <w:color w:val="auto"/>
        </w:rPr>
        <w:t>Globally, the growth momentum is also tremendous. The global tea drinks market, as the second largest non-alcoholic beverage category worldwide, commanded a GMV of US$467.1 billion in 2024 and is projected to reach US$ 601.9 billion by 2028, according to iResearch. Freshly-made tea drinks continue to gain popularity across overseas markets. Driven by rising per capita income, an expanding base of tea consumers, and the potential to attract more coffee drinkers by virtue of tea’s affordability and health benefits, the global market for freshly-made tea drinks is expected to reach US$122.0 billion by 2028, representing a CAGR of 18.9% from 2024 to 2028.</w:t>
      </w:r>
    </w:p>
    <w:p>
      <w:pPr>
        <w:spacing w:after="0" w:line="114" w:lineRule="exact"/>
        <w:rPr>
          <w:sz w:val="20"/>
          <w:szCs w:val="20"/>
          <w:color w:val="auto"/>
        </w:rPr>
      </w:pPr>
    </w:p>
    <w:p>
      <w:pPr>
        <w:jc w:val="both"/>
        <w:ind w:left="1280" w:right="399" w:firstLine="360"/>
        <w:spacing w:after="0" w:line="245" w:lineRule="auto"/>
        <w:rPr>
          <w:sz w:val="20"/>
          <w:szCs w:val="20"/>
          <w:color w:val="auto"/>
        </w:rPr>
      </w:pPr>
      <w:r>
        <w:rPr>
          <w:rFonts w:ascii="Times New Roman" w:cs="Times New Roman" w:eastAsia="Times New Roman" w:hAnsi="Times New Roman"/>
          <w:sz w:val="18"/>
          <w:szCs w:val="18"/>
          <w:color w:val="auto"/>
        </w:rPr>
        <w:t>As consumer demands for quality and health attributes continue to rise, coupled with an increasing focus on brand image and culture, freshly-made tea drinks brands are increasingly improving the healthiness and brand values of their products. Digital transformation plays an increasing role in these efforts, as it not only enhances operational efficiency for brands but also addresses consumer demands for more convenient and efficient products and services. Additionally, as the franchise model continues to play a crucial role in business expansion, a robust managed franchise model has emerged as a more effective model for tea drinks brands looking to expand rapidly.</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History and Corporate Structure</w:t>
      </w:r>
    </w:p>
    <w:p>
      <w:pPr>
        <w:spacing w:after="0" w:line="162"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We commenced our operations in China in 2017. In December 2020, Beijing Chagee Catering Management Co., Ltd., or Beijing Chagee, was established, and we currently conduct all of our business in China through Beijing Chagee and its subsidiaries. We do not use a variable interest entity structure.</w:t>
      </w:r>
    </w:p>
    <w:p>
      <w:pPr>
        <w:spacing w:after="0" w:line="102"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We incorporated Chagee Holdings Limited, an exempted company with limited liability in the Cayman Islands, as our ultimate holding company in May 2023 in anticipation of this offering and future capital raising from international investors.</w:t>
      </w:r>
    </w:p>
    <w:p>
      <w:pPr>
        <w:spacing w:after="0" w:line="109"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In June 2023, we established CHAGEE HOLDINGS PTE. LTD., or Chagee Holdings Singapore, and CHAGEE INVESTMENT PTE. LTD., or Chagee Investment, under the laws of Singapore as intermediary holding companies. Chagee Holdings Singapore owns 100% of the equity interest in Chagee Investment, and Chagee Investment acquired 100% of the equity interest in Beijing Chagee through a series of transactions completed in October 2023.</w:t>
      </w:r>
    </w:p>
    <w:p>
      <w:pPr>
        <w:spacing w:after="0" w:line="110" w:lineRule="exact"/>
        <w:rPr>
          <w:sz w:val="20"/>
          <w:szCs w:val="20"/>
          <w:color w:val="auto"/>
        </w:rPr>
      </w:pPr>
    </w:p>
    <w:p>
      <w:pPr>
        <w:jc w:val="both"/>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Through a series of transactions completed in December 2023, which we refer to collectively as the “Restructuring” throughout this prospectus, the then- shareholders of Beijing Chagee (or their designed affiliates) received ordinary shares, Series A and B preferred shares of Chagee Holdings Limited, as applicable, substantially in proportion to their respective equity interests in Beijing Chagee immediately prior to the Restructuring and with substantially the same terms.</w:t>
      </w:r>
    </w:p>
    <w:p>
      <w:pPr>
        <w:spacing w:after="0" w:line="114"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In July 2023, we established CHAGEE GROUP (SEA) PTE. LTD. under the laws of Singapore, through which we operate our business in Southeast Asia. In November 2023, we established Chagee Holdings (UK) Limited under the laws of the United Kingdom, through which we intend to explore expansion opportunities in other overseas markets.</w:t>
      </w:r>
    </w:p>
    <w:p>
      <w:pPr>
        <w:spacing w:after="0" w:line="110"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In connection with our Series B+ financing, we issued a total of 20,374,577 Series B+ preferred shares in July and December 2023 to certain investors for an aggregate consideration of the US$ equivalent of RMB330 million. See “Description of Share Capital — History of Securities Issuances.”</w:t>
      </w:r>
    </w:p>
    <w:p>
      <w:pPr>
        <w:spacing w:after="0" w:line="109" w:lineRule="exact"/>
        <w:rPr>
          <w:sz w:val="20"/>
          <w:szCs w:val="20"/>
          <w:color w:val="auto"/>
        </w:rPr>
      </w:pPr>
    </w:p>
    <w:p>
      <w:pPr>
        <w:jc w:val="both"/>
        <w:ind w:left="1280" w:right="399" w:firstLine="360"/>
        <w:spacing w:after="0" w:line="264"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all of our significant subsidiaries within and outside of the PRC, and our shareholding structure, immediately upon the completion of this offering.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99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819912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i w:val="1"/>
          <w:iCs w:val="1"/>
          <w:color w:val="auto"/>
        </w:rPr>
        <w:t>Notes</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jc w:val="both"/>
        <w:ind w:left="1640" w:right="399" w:hanging="362"/>
        <w:spacing w:after="0" w:line="255" w:lineRule="auto"/>
        <w:tabs>
          <w:tab w:leader="none" w:pos="1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shareholding percentage is calculated by dividing the number of ordinary shares beneficially owned by such person or group immediately upon completion of this offering by the sum of (i) 118,275,785 Class A ordinary shares and 65,274,107 Class B ordinary shares issued and outstanding immediately after the completion of this offering, including 14,683,991 Class A ordinary shares represented by 14,683,991 ADSs to be sold by us in this offering, assuming that the underwriters do not exercise their option to purchase additional ADSs, and (ii) the number of ordinary shares underlying share options held by such person or group that are exercisable within 60 days after the date of this prospectus.</w:t>
      </w:r>
    </w:p>
    <w:p>
      <w:pPr>
        <w:spacing w:after="0" w:line="256" w:lineRule="exact"/>
        <w:rPr>
          <w:sz w:val="20"/>
          <w:szCs w:val="20"/>
          <w:color w:val="auto"/>
        </w:rPr>
      </w:pPr>
    </w:p>
    <w:p>
      <w:pPr>
        <w:jc w:val="both"/>
        <w:ind w:left="1640" w:right="399" w:hanging="362"/>
        <w:spacing w:after="0" w:line="255" w:lineRule="auto"/>
        <w:tabs>
          <w:tab w:leader="none" w:pos="1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 percentage is calculated by dividing the voting power beneficially owned by such person or group by the voting power of all of our ordinary shares as a single class immediately upon completion of this offering. Each holder of Class A ordinary shares is entitled to one vote per share and each holder of our Class B ordinary shares is entitled to ten (10) votes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Holding Company Structure</w:t>
      </w:r>
    </w:p>
    <w:p>
      <w:pPr>
        <w:spacing w:after="0" w:line="162" w:lineRule="exact"/>
        <w:rPr>
          <w:sz w:val="20"/>
          <w:szCs w:val="20"/>
          <w:color w:val="auto"/>
        </w:rPr>
      </w:pPr>
    </w:p>
    <w:p>
      <w:pPr>
        <w:jc w:val="both"/>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We are a holding company with no business operations of our own. We conduct all of our operations through our subsidiaries located in China and elsewhere. As a result, our ability to pay dividends depends upon dividends paid by our subsidiaries. If our subsidiaries incur debt on their own behalf in the future, the instruments governing their debt may restrict their ability to pay dividends to us. Our subsidiaries in China are permitted to pay dividends to us only out of their retained earnings, if any, as determined in accordance with the Accounting Standards for Business Enterprise as promulgated by the Ministry of Finance of the PRC, or the PRC GAAP. Under the PRC law, each of our subsidiaries in China is required to set aside at least 10% of</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76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797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45" w:lineRule="auto"/>
        <w:rPr>
          <w:sz w:val="20"/>
          <w:szCs w:val="20"/>
          <w:color w:val="auto"/>
        </w:rPr>
      </w:pPr>
      <w:r>
        <w:rPr>
          <w:rFonts w:ascii="Times New Roman" w:cs="Times New Roman" w:eastAsia="Times New Roman" w:hAnsi="Times New Roman"/>
          <w:sz w:val="18"/>
          <w:szCs w:val="18"/>
          <w:color w:val="auto"/>
        </w:rPr>
        <w:t>its after-tax profits each year, if any, to fund certain statutory reserve funds until such reserve funds reach 50% of their registered capital. The statutory reserve funds are not distributable as cash dividends. Remittance of dividends by a wholly foreign- owned company out of China is subject to examination by the banks designated by SAFE. Our subsidiaries in China have not paid dividends and will not be able to pay dividends until they generate accumulated profits and meet the requirements for statutory reserve funds. See “Regulation — Regulations Relating to Dividend Distributions” for a detailed discussion of the PRC legal restrictions on dividends and our ability to transfer cash within our group.</w:t>
      </w:r>
    </w:p>
    <w:p>
      <w:pPr>
        <w:spacing w:after="0" w:line="1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Cash Flows through Our Organization</w:t>
      </w:r>
    </w:p>
    <w:p>
      <w:pPr>
        <w:spacing w:after="0" w:line="81" w:lineRule="exact"/>
        <w:rPr>
          <w:sz w:val="20"/>
          <w:szCs w:val="20"/>
          <w:color w:val="auto"/>
        </w:rPr>
      </w:pPr>
    </w:p>
    <w:p>
      <w:pPr>
        <w:jc w:val="both"/>
        <w:ind w:left="1280" w:right="399" w:firstLine="360"/>
        <w:spacing w:after="0" w:line="243" w:lineRule="auto"/>
        <w:rPr>
          <w:sz w:val="20"/>
          <w:szCs w:val="20"/>
          <w:color w:val="auto"/>
        </w:rPr>
      </w:pPr>
      <w:r>
        <w:rPr>
          <w:rFonts w:ascii="Times New Roman" w:cs="Times New Roman" w:eastAsia="Times New Roman" w:hAnsi="Times New Roman"/>
          <w:sz w:val="18"/>
          <w:szCs w:val="18"/>
          <w:color w:val="auto"/>
        </w:rPr>
        <w:t>We currently do not have cash management policies that dictate how funds are transferred between Chagee Holdings Limited and its subsidiaries, and its shareholders and ADS holders. Cash is usually transferred within our group in the following manner: (i) funds may be transferred to Chagee Investment and Chagee Holdings (UK) Limited, and further to their respective subsidiaries, from Chagee Holdings Limited as needed through CHAGEE HOLDINGS PTE. LTD., or Chagee Holdings Singapore, in the form of capital contributions or shareholder loans, as the case may be; and (ii) dividends or other distributions may be paid by Chagee Investment and Chagee Holdings (UK) Limited to Chagee Holdings Limited through Chagee Holdings Singapore.</w:t>
      </w:r>
    </w:p>
    <w:p>
      <w:pPr>
        <w:spacing w:after="0" w:line="328" w:lineRule="exact"/>
        <w:rPr>
          <w:sz w:val="20"/>
          <w:szCs w:val="20"/>
          <w:color w:val="auto"/>
        </w:rPr>
      </w:pPr>
    </w:p>
    <w:p>
      <w:pPr>
        <w:jc w:val="both"/>
        <w:ind w:left="1280" w:right="399" w:firstLine="360"/>
        <w:spacing w:after="0" w:line="244" w:lineRule="auto"/>
        <w:rPr>
          <w:sz w:val="20"/>
          <w:szCs w:val="20"/>
          <w:color w:val="auto"/>
        </w:rPr>
      </w:pPr>
      <w:r>
        <w:rPr>
          <w:rFonts w:ascii="Times New Roman" w:cs="Times New Roman" w:eastAsia="Times New Roman" w:hAnsi="Times New Roman"/>
          <w:sz w:val="18"/>
          <w:szCs w:val="18"/>
          <w:color w:val="auto"/>
        </w:rPr>
        <w:t>In the years ended December 31, 2022, 2023 and 2024 and as of the date of this prospectus, Chagee Holdings Limited did not transfer any cash to or from any of our PRC subsidiaries, except for the cash transfers within our group in connection with the Restructuring. In 2023, (i) shareholder loans totalled US$5.5 million, US$250 thousand and US$20 thousand from Chagee Holdings Limited to Chagee Investment, Chagee Holdings Singapore and Chagee Group (SEA) PTE. LTD., respectively, and (ii) capital contributions totalled RMB36.9 million from Chagee Investment to Beijing Chagee. See Note 1 (b) to our consolidated financial statements included elsewhere in this prospectus. In the future, cash proceeds raised from overseas financing activities, including this offering, may be transferred by Chagee Holdings Limited through Chagee Holdings Singapore and Chagee Investment to Beijing Chagee, via capital contribution and shareholder loans, as the case may be. Beijing Chagee then will transfer funds to its subsidiaries to meet the capital needs of our business operations in China.</w:t>
      </w:r>
    </w:p>
    <w:p>
      <w:pPr>
        <w:spacing w:after="0" w:line="326" w:lineRule="exact"/>
        <w:rPr>
          <w:sz w:val="20"/>
          <w:szCs w:val="20"/>
          <w:color w:val="auto"/>
        </w:rPr>
      </w:pPr>
    </w:p>
    <w:p>
      <w:pPr>
        <w:jc w:val="both"/>
        <w:ind w:left="1280" w:right="399" w:firstLine="360"/>
        <w:spacing w:after="0" w:line="244" w:lineRule="auto"/>
        <w:rPr>
          <w:sz w:val="20"/>
          <w:szCs w:val="20"/>
          <w:color w:val="auto"/>
        </w:rPr>
      </w:pPr>
      <w:r>
        <w:rPr>
          <w:rFonts w:ascii="Times New Roman" w:cs="Times New Roman" w:eastAsia="Times New Roman" w:hAnsi="Times New Roman"/>
          <w:sz w:val="18"/>
          <w:szCs w:val="18"/>
          <w:color w:val="auto"/>
        </w:rPr>
        <w:t>The ability of Chagee Holdings Limited to pay dividends, if any, to its shareholders and ADS holders and to service any debt it may incur will depend upon dividends paid by our subsidiaries, particularly our PRC subsidiaries that conduct a significant portion of our business operations. None of our PRC subsidiaries have issued any dividends or distributions to their respective holding companies, including Chagee Holdings Limited, or any investors as of the date of this prospectus, and they will not be able to do so until they generate accumulated profits and meet the requirements for statutory reserve funds.</w:t>
      </w:r>
    </w:p>
    <w:p>
      <w:pPr>
        <w:spacing w:after="0" w:line="114" w:lineRule="exact"/>
        <w:rPr>
          <w:sz w:val="20"/>
          <w:szCs w:val="20"/>
          <w:color w:val="auto"/>
        </w:rPr>
      </w:pPr>
    </w:p>
    <w:p>
      <w:pPr>
        <w:jc w:val="both"/>
        <w:ind w:left="1280" w:right="399" w:firstLine="360"/>
        <w:spacing w:after="0" w:line="241" w:lineRule="auto"/>
        <w:rPr>
          <w:sz w:val="20"/>
          <w:szCs w:val="20"/>
          <w:color w:val="auto"/>
        </w:rPr>
      </w:pPr>
      <w:r>
        <w:rPr>
          <w:rFonts w:ascii="Times New Roman" w:cs="Times New Roman" w:eastAsia="Times New Roman" w:hAnsi="Times New Roman"/>
          <w:sz w:val="18"/>
          <w:szCs w:val="18"/>
          <w:color w:val="auto"/>
        </w:rPr>
        <w:t>However, there could be limitations on our ability to transfer cash between Chagee Holdings Limited and its subsidiaries, and investors of our company. For example, PRC regulations only allow our subsidiaries to pay dividends from their accumulated profits. Furthermore, each PRC subsidiaries must allocate 10% of after-tax profits annually to a statutory reserve, until it equals 50% of the subsidiary’s registered capital, which are not distributable as dividends. In addition, dividend payments or other equity distributions are subject to SAFE procedures for cross-border transactions. The Enterprise Income Tax Law imposes a withholding tax rate of up to 10% to dividends paid by Chinese companies to non-PRC resident enterprises, unless exemptions or reductions are granted. If our PRC subsidiaries incur debt in the future, the debt instruments may limit their ability to pay dividends or make distributions to us, potentially affecting our liquidity. Additionally, investors should be aware that to the extent cash in the business is in the PRC or a PRC entity, the funds may not be available to fund operations or for other use outside of the PRC due to interventions in or the imposition of restrictions and limitations on the ability of our subsidiaries by the PRC government to transfer cash. Any restrictions on our subsidiaries’ ability to pay dividends or make other payments to us could significantly impede our growth, investment opportunities, acquisitions, dividend payments to our investors, and overall business operations. On the other hand, transferring funds to our PRC subsidiaries, whether as loans or increases in registered capital, requires approvals, registrations, or filings with relevant PRC regulatory authorities. Obtaining these approvals or completing registrations or filings in a timely manner for future capital contributions or foreign loans from us to our PRC subsidiaries may be uncertain or delayed. Furthermore, funds transferred to our PRC subsidiaries are subject to foreign exchange restrictions, including limitations on loan amounts and usage, as per relevant PRC laws and regulations. For additional information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54" w:lineRule="auto"/>
        <w:rPr>
          <w:sz w:val="20"/>
          <w:szCs w:val="20"/>
          <w:color w:val="auto"/>
        </w:rPr>
      </w:pPr>
      <w:r>
        <w:rPr>
          <w:rFonts w:ascii="Times New Roman" w:cs="Times New Roman" w:eastAsia="Times New Roman" w:hAnsi="Times New Roman"/>
          <w:sz w:val="18"/>
          <w:szCs w:val="18"/>
          <w:color w:val="auto"/>
        </w:rPr>
        <w:t>about the applicable PRC regulations and rules relating to such cash transfers through our group and the associated risks, see “Risk Factors — Risks Relating to Doing Business in China —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on pages 47 and 48 of this prospectus, and “— PRC regulation of loans to and direct investment in PRC entities by offshore holding companies and currency conversion may delay us from using the proceeds of this offering to make loans or additional capital contributions to our PRC subsidiaries, which could materially and adversely affect our liquidity and our ability to fund and expand our business” on pages 48 and 49 of this prospectus.</w:t>
      </w:r>
    </w:p>
    <w:p>
      <w:pPr>
        <w:spacing w:after="0" w:line="18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An investment in the ADSs involves significant risks. Investors in the ADSs are not purchasing equity securities of our subsidiaries that have substantive business operations in China and elsewhere, but instead are purchasing equity securities of a Cayman Islands holding company. Chagee Holdings Limited is a Cayman Islands holding company that conducts all of its operations through its subsidiaries located in China and elsewhere. Such structure involves unique risks to investors in the ADSs.</w:t>
      </w:r>
    </w:p>
    <w:p>
      <w:pPr>
        <w:spacing w:after="0" w:line="116" w:lineRule="exact"/>
        <w:rPr>
          <w:sz w:val="20"/>
          <w:szCs w:val="20"/>
          <w:color w:val="auto"/>
        </w:rPr>
      </w:pPr>
    </w:p>
    <w:p>
      <w:pPr>
        <w:jc w:val="both"/>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As a China-based company incorporated in the Cayman Islands, we face various legal and operational risks and uncertainties related to being based in and having a significant portion of our operations in China. The PRC regulatory authorities have significant oversight and discretion over the conduct of our business and may influence our operations as they deem appropriate to further economic, regulatory, political and societal goals. The PRC regulatory authorities have published new policies that affected certain industries with respect to matters such as cybersecurity, data privacy, antitrust and competition, foreign investments, and overseas listings, and we cannot rule out the possibility that it will in the future release regulations or policies regarding our industry that could adversely affect our business, financial condition and results of operations. Furthermore, the PRC regulatory authority has recently issued new laws and regulations to exert more oversight and control over overseas securities offerings and other capital markets activities and foreign investment in China-based companies like us. Any such action, once taken by the PRC regulatory authority, could significantly limit or completely hinder our ability to offer or continue to offer securities to investors and cause the value of such securities to significantly decline or in extreme cases, become worthless.</w:t>
      </w:r>
    </w:p>
    <w:p>
      <w:pPr>
        <w:spacing w:after="0" w:line="106"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You should consider carefully all of the information in this prospectus, including the risks and uncertainties described below, before making an investment in the ADSs. Full-fledged discussion of these summary risk factors can be found in the section headed “Risk Factors” under the same subheadings.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 and Industry</w:t>
      </w:r>
    </w:p>
    <w:p>
      <w:pPr>
        <w:spacing w:after="0" w:line="135" w:lineRule="exact"/>
        <w:rPr>
          <w:sz w:val="20"/>
          <w:szCs w:val="20"/>
          <w:color w:val="auto"/>
        </w:rPr>
      </w:pPr>
    </w:p>
    <w:p>
      <w:pPr>
        <w:ind w:left="1820" w:right="399" w:hanging="182"/>
        <w:spacing w:after="0" w:line="282"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not be indicative of our future growth or financial results and we may not be able to sustain our historical growth rates. (page 25)</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manage our growth or if our growth rate declines, our business and prospects may be materially and adversely affected. (pages 25 and 26)</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the highly competitive and rapidly evolving freshly-made tea drinks market in China and overseas. (page 26)</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expanding our teahouse network. (pages 26 and 27)</w:t>
      </w:r>
    </w:p>
    <w:p>
      <w:pPr>
        <w:spacing w:after="0" w:line="130" w:lineRule="exact"/>
        <w:rPr>
          <w:rFonts w:ascii="Times New Roman" w:cs="Times New Roman" w:eastAsia="Times New Roman" w:hAnsi="Times New Roman"/>
          <w:sz w:val="18"/>
          <w:szCs w:val="18"/>
          <w:color w:val="auto"/>
        </w:rPr>
      </w:pPr>
    </w:p>
    <w:p>
      <w:pPr>
        <w:jc w:val="both"/>
        <w:ind w:left="1820" w:right="399" w:hanging="182"/>
        <w:spacing w:after="0" w:line="261"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 (pages 27 and 28)</w:t>
      </w:r>
    </w:p>
    <w:p>
      <w:pPr>
        <w:spacing w:after="0" w:line="71"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consumers preferences and tastes may adversely affect our business. (page 28)</w:t>
      </w:r>
    </w:p>
    <w:p>
      <w:pPr>
        <w:spacing w:after="0" w:line="117"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offer our products at prices that are appealing to consumers or maintain competitive prices, our business and results of operations would be materially and adversely affected. (pages 28 and 29)</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301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830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820" w:right="399" w:hanging="182"/>
        <w:spacing w:after="0" w:line="275"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acquire new consumers or retain existing consumers in a cost-effective manner, our business, financial condition and results of operations may be materially and adversely affected. (page 29)</w:t>
      </w:r>
    </w:p>
    <w:p>
      <w:pPr>
        <w:spacing w:after="0" w:line="281"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expanding our membership and our ability to take advantage of our membership program may be limited. (page 29 and 30)</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operating the company-owned and franchised teahouses managed by us within our teahouse network effectively. (page 30)</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Doing Business in China</w:t>
      </w:r>
    </w:p>
    <w:p>
      <w:pPr>
        <w:spacing w:after="0" w:line="121" w:lineRule="exact"/>
        <w:rPr>
          <w:sz w:val="20"/>
          <w:szCs w:val="20"/>
          <w:color w:val="auto"/>
        </w:rPr>
      </w:pPr>
    </w:p>
    <w:p>
      <w:pPr>
        <w:jc w:val="both"/>
        <w:ind w:left="1820" w:right="399" w:hanging="182"/>
        <w:spacing w:after="0" w:line="252"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our business primarily through our PRC subsidiaries. Our operations in China are governed by PRC laws and regulations. The PRC legal system is a civil law system based on written statutes, where prior court decisions have limited precedential value. The PRC legal system is evolving rapidly, and the interpretations of many laws, regulations and rules may contain inconsistencies and enforcement of these laws, regulations and rules involves uncertainties. As such, the enforcement of laws in the PRC legal system and rules and regulations in China can change quickly with little advance notice. In addition, the Chinese government has significant oversight and discretion over the conduct of our business, and it may intervene or influence our operations at any time, which could result in a material adverse change in our operations, and our Class A ordinary shares and the ADSs may decline in value or become worthless. For a detailed discussion of the underlying risks, see “Risk Factors — Risks Relating to Doing Business in China — The PRC government exerts substantial influence over the manner in which we conduct our business operations. Our business is subject to complex and evolving policies, laws and regulations, the application, interpretation and enforcement of which may be changed from time to time. Failure to comply with these laws and regulations may materially and adversely affect us” on pages 45 of this prospectus.</w:t>
      </w:r>
    </w:p>
    <w:p>
      <w:pPr>
        <w:spacing w:after="0" w:line="303" w:lineRule="exact"/>
        <w:rPr>
          <w:rFonts w:ascii="Times New Roman" w:cs="Times New Roman" w:eastAsia="Times New Roman" w:hAnsi="Times New Roman"/>
          <w:sz w:val="18"/>
          <w:szCs w:val="18"/>
          <w:color w:val="auto"/>
        </w:rPr>
      </w:pPr>
    </w:p>
    <w:p>
      <w:pPr>
        <w:jc w:val="both"/>
        <w:ind w:left="1820" w:right="399" w:hanging="182"/>
        <w:spacing w:after="0" w:line="253"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Chagee Holdings Limited is a Cayman Islands holding company with no business operations of its own. It conducts all of its operations through its subsidiaries located in China and elsewhere. Investors in the ADSs are not purchasing equity securities of these subsidiaries that have substantive business operations but instead are purchasing equity securities of a Cayman Islands holding company. This holding company structure involves unique risks to investors. For a detailed discussion of the underlying risks, see “Risk Factors — Risks Relating to Doing Business in China</w:t>
      </w:r>
    </w:p>
    <w:p>
      <w:pPr>
        <w:spacing w:after="0" w:line="5" w:lineRule="exact"/>
        <w:rPr>
          <w:rFonts w:ascii="Times New Roman" w:cs="Times New Roman" w:eastAsia="Times New Roman" w:hAnsi="Times New Roman"/>
          <w:sz w:val="18"/>
          <w:szCs w:val="18"/>
          <w:color w:val="auto"/>
        </w:rPr>
      </w:pPr>
    </w:p>
    <w:p>
      <w:pPr>
        <w:ind w:left="1820" w:right="3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Uncertainties exist with respect to how the PRC Foreign Investment Law may impact the viability of our current corporate structure and operations” on pages 46 of this prospectus.</w:t>
      </w:r>
    </w:p>
    <w:p>
      <w:pPr>
        <w:spacing w:after="0" w:line="73" w:lineRule="exact"/>
        <w:rPr>
          <w:rFonts w:ascii="Times New Roman" w:cs="Times New Roman" w:eastAsia="Times New Roman" w:hAnsi="Times New Roman"/>
          <w:sz w:val="18"/>
          <w:szCs w:val="18"/>
          <w:color w:val="auto"/>
        </w:rPr>
      </w:pPr>
    </w:p>
    <w:p>
      <w:pPr>
        <w:jc w:val="both"/>
        <w:ind w:left="1820" w:right="399" w:hanging="182"/>
        <w:spacing w:after="0" w:line="258"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and operations. For a detailed discussion of the underlying risks, see “Risk Factors — Risks Relating to Doing Business in China — Changes in China’s economic, political or social conditions or government policies could have a material adverse effect on our business and operations” on page 46 of this prospectus.</w:t>
      </w:r>
    </w:p>
    <w:p>
      <w:pPr>
        <w:spacing w:after="0" w:line="75" w:lineRule="exact"/>
        <w:rPr>
          <w:rFonts w:ascii="Times New Roman" w:cs="Times New Roman" w:eastAsia="Times New Roman" w:hAnsi="Times New Roman"/>
          <w:sz w:val="18"/>
          <w:szCs w:val="18"/>
          <w:color w:val="auto"/>
        </w:rPr>
      </w:pPr>
    </w:p>
    <w:p>
      <w:pPr>
        <w:jc w:val="both"/>
        <w:ind w:left="1820" w:right="399" w:hanging="182"/>
        <w:spacing w:after="0" w:line="253"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may exert more oversight and control over offerings that are conducted overseas and/or foreign investment in China-based issuers, which could significantly limit or completely hinder our ability to offer or continue to offer securities to investors and cause the value of such securities to significantly decline or be worthless. For a detailed discussion of the underlying risks, see “Risk Factors — Risks Relating to Doing Business in China — The approval, filing or other requirements of the CSRC or other PRC regulatory authorities is required under PRC law in connection with our issuance of securities overseas. Failure to file or report with CSRC for this offering or any actions by the PRC government to exert more oversight and control over offerings that are conducted overseas and foreign investment in China-based issuers in the future could significantly limit or completely hinder our ability to offer or continue to offer our ordinary shares to investors and could cause the value of our ordinary shares to significantly decline or become worthless” on pages 46 and 49 of this prospectus.</w:t>
      </w:r>
    </w:p>
    <w:p>
      <w:pPr>
        <w:spacing w:after="0" w:line="299" w:lineRule="exact"/>
        <w:rPr>
          <w:rFonts w:ascii="Times New Roman" w:cs="Times New Roman" w:eastAsia="Times New Roman" w:hAnsi="Times New Roman"/>
          <w:sz w:val="18"/>
          <w:szCs w:val="18"/>
          <w:color w:val="auto"/>
        </w:rPr>
      </w:pPr>
    </w:p>
    <w:p>
      <w:pPr>
        <w:jc w:val="both"/>
        <w:ind w:left="1820" w:right="399" w:hanging="182"/>
        <w:spacing w:after="0" w:line="257"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challenging to effect service of legal process, enforce foreign judgments or bring actions in China against us or our management named in the prospectus based on foreign laws. For a detailed discussion of the underlying risks, see “Risk Factors — Risks Relating to Doing Business in China</w:t>
      </w:r>
    </w:p>
    <w:p>
      <w:pPr>
        <w:spacing w:after="0" w:line="1"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345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8345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820" w:right="399"/>
        <w:spacing w:after="0" w:line="258" w:lineRule="auto"/>
        <w:rPr>
          <w:sz w:val="20"/>
          <w:szCs w:val="20"/>
          <w:color w:val="auto"/>
        </w:rPr>
      </w:pPr>
      <w:r>
        <w:rPr>
          <w:rFonts w:ascii="Times New Roman" w:cs="Times New Roman" w:eastAsia="Times New Roman" w:hAnsi="Times New Roman"/>
          <w:sz w:val="18"/>
          <w:szCs w:val="18"/>
          <w:color w:val="auto"/>
        </w:rPr>
        <w:t>It may be challenging to effect service of legal process, enforce foreign judgments or bring actions in China against us or our management named in the prospectus based on foreign laws” on page 49 of this prospectus.</w:t>
      </w:r>
    </w:p>
    <w:p>
      <w:pPr>
        <w:spacing w:after="0" w:line="61" w:lineRule="exact"/>
        <w:rPr>
          <w:sz w:val="20"/>
          <w:szCs w:val="20"/>
          <w:color w:val="auto"/>
        </w:rPr>
      </w:pPr>
    </w:p>
    <w:p>
      <w:pPr>
        <w:jc w:val="both"/>
        <w:ind w:left="1820" w:right="399" w:hanging="182"/>
        <w:spacing w:after="0" w:line="253"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Investors should be aware that to the extent cash in the business is in the PRC or a PRC entity, the funds may not be available to fund operations or for other use outside of the PRC due to interventions in or the imposition of restrictions and limitations on the ability of our subsidiaries by the PRC government to transfer cash. For a detailed discussion of the underlying risks, see “Risk Factors — Risks Relating to Doing Business in China —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on pages 49 and 50 of this prospectus.</w:t>
      </w:r>
    </w:p>
    <w:p>
      <w:pPr>
        <w:spacing w:after="0" w:line="299" w:lineRule="exact"/>
        <w:rPr>
          <w:rFonts w:ascii="Times New Roman" w:cs="Times New Roman" w:eastAsia="Times New Roman" w:hAnsi="Times New Roman"/>
          <w:sz w:val="18"/>
          <w:szCs w:val="18"/>
          <w:color w:val="auto"/>
        </w:rPr>
      </w:pPr>
    </w:p>
    <w:p>
      <w:pPr>
        <w:jc w:val="both"/>
        <w:ind w:left="1820" w:right="399" w:hanging="182"/>
        <w:spacing w:after="0" w:line="257"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custodians or authorized users of our controlling non-tangible assets, including chops and seals, may fail to fulfill their responsibilities, or misappropriate or misuse these assets. For a detailed discussion of the underlying risks, see “Risk Factors — Risks Relating to Doing Business in China</w:t>
      </w:r>
    </w:p>
    <w:p>
      <w:pPr>
        <w:spacing w:after="0" w:line="1" w:lineRule="exact"/>
        <w:rPr>
          <w:rFonts w:ascii="Times New Roman" w:cs="Times New Roman" w:eastAsia="Times New Roman" w:hAnsi="Times New Roman"/>
          <w:sz w:val="18"/>
          <w:szCs w:val="18"/>
          <w:color w:val="auto"/>
        </w:rPr>
      </w:pPr>
    </w:p>
    <w:p>
      <w:pPr>
        <w:jc w:val="both"/>
        <w:ind w:left="1820" w:right="3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custodians or authorized users of our controlling non-tangible assets, including chops and seals, may fail to fulfill their responsibilities, or misappropriate or misuse these assets” on page 50 of this prospectus.</w:t>
      </w:r>
    </w:p>
    <w:p>
      <w:pPr>
        <w:spacing w:after="0" w:line="77" w:lineRule="exact"/>
        <w:rPr>
          <w:rFonts w:ascii="Times New Roman" w:cs="Times New Roman" w:eastAsia="Times New Roman" w:hAnsi="Times New Roman"/>
          <w:sz w:val="18"/>
          <w:szCs w:val="18"/>
          <w:color w:val="auto"/>
        </w:rPr>
      </w:pPr>
    </w:p>
    <w:p>
      <w:pPr>
        <w:jc w:val="both"/>
        <w:ind w:left="1820" w:right="399" w:hanging="182"/>
        <w:spacing w:after="0" w:line="254"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funds to our PRC subsidiaries, whether as loans or increases in registered capital, requires approvals, registrations, or filings with relevant PRC regulatory authorities. Obtaining these approvals or completing registrations or filings in a timely manner for future capital contributions or foreign loans from us to our PRC subsidiaries may be uncertain or delayed. For a detailed discussion of the underlying risks, see “Risk Factors — Risks Relating to Doing Business in China — PRC regulation of loans to and direct investment in PRC entities by offshore holding companies and currency conversion may delay us from using the proceeds of this offering to make loans or additional capital contributions to our PRC subsidiaries, which could materially and adversely affect our liquidity and our ability to fund and expand our business” on pages 50 and 51 of this prospectus.</w:t>
      </w:r>
    </w:p>
    <w:p>
      <w:pPr>
        <w:spacing w:after="0" w:line="18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the ADSs and This Offering</w:t>
      </w:r>
    </w:p>
    <w:p>
      <w:pPr>
        <w:spacing w:after="0" w:line="108" w:lineRule="exact"/>
        <w:rPr>
          <w:sz w:val="20"/>
          <w:szCs w:val="20"/>
          <w:color w:val="auto"/>
        </w:rPr>
      </w:pPr>
    </w:p>
    <w:p>
      <w:pPr>
        <w:ind w:left="1820" w:right="39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ordinary shares or the ADSs may not develop and the trading price for the ADSs may fluctuate significantly. (pages 57)</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ADSs is likely to be volatile, which could result in substantial losses to investors. (page 57)</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or perceived potential sales of ADSs in the public market could cause the price of ADSs to decline. (pages 58)</w:t>
      </w:r>
    </w:p>
    <w:p>
      <w:pPr>
        <w:spacing w:after="0" w:line="40"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do not expect to pay dividends in the foreseeable future after this offering, you must rely on a price appreciation of the ADSs for a return on your investment. (page 58)</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initial public offering price is substantially higher than the pro forma net tangible book value per share, you will experience immediate and substantial dilution. (page 58)</w:t>
      </w:r>
    </w:p>
    <w:p>
      <w:pPr>
        <w:spacing w:after="0" w:line="53" w:lineRule="exact"/>
        <w:rPr>
          <w:rFonts w:ascii="Times New Roman" w:cs="Times New Roman" w:eastAsia="Times New Roman" w:hAnsi="Times New Roman"/>
          <w:sz w:val="18"/>
          <w:szCs w:val="18"/>
          <w:color w:val="auto"/>
        </w:rPr>
      </w:pPr>
    </w:p>
    <w:p>
      <w:pPr>
        <w:jc w:val="both"/>
        <w:ind w:left="1820" w:right="399" w:hanging="182"/>
        <w:spacing w:after="0" w:line="261"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Forum selection provisions in our post-offering memorandum and articles of association could limit the ability of holders of our Class A ordinary shares, ADSs, or other securities to obtain a favorable judicial forum for disputes with us, our directors and officers, the depositary bank, and potentially others. (page 66)</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Recent Regulatory Developments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PRC Cybersecurity Review</w:t>
      </w:r>
    </w:p>
    <w:p>
      <w:pPr>
        <w:spacing w:after="0" w:line="158" w:lineRule="exact"/>
        <w:rPr>
          <w:sz w:val="20"/>
          <w:szCs w:val="20"/>
          <w:color w:val="auto"/>
        </w:rPr>
      </w:pPr>
    </w:p>
    <w:p>
      <w:pPr>
        <w:jc w:val="both"/>
        <w:ind w:left="1280" w:right="399" w:firstLine="360"/>
        <w:spacing w:after="0" w:line="257"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(the “</w:t>
      </w:r>
      <w:r>
        <w:rPr>
          <w:rFonts w:ascii="Times New Roman" w:cs="Times New Roman" w:eastAsia="Times New Roman" w:hAnsi="Times New Roman"/>
          <w:sz w:val="18"/>
          <w:szCs w:val="18"/>
          <w:b w:val="1"/>
          <w:bCs w:val="1"/>
          <w:color w:val="auto"/>
        </w:rPr>
        <w:t>CAC</w:t>
      </w:r>
      <w:r>
        <w:rPr>
          <w:rFonts w:ascii="Times New Roman" w:cs="Times New Roman" w:eastAsia="Times New Roman" w:hAnsi="Times New Roman"/>
          <w:sz w:val="18"/>
          <w:szCs w:val="18"/>
          <w:color w:val="auto"/>
        </w:rPr>
        <w:t>”), and 12 other relevant PRC government authorities published the amended Cybersecurity Review Measures, which came into effect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276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802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46" w:lineRule="auto"/>
        <w:rPr>
          <w:sz w:val="20"/>
          <w:szCs w:val="20"/>
          <w:color w:val="auto"/>
        </w:rPr>
      </w:pPr>
      <w:r>
        <w:rPr>
          <w:rFonts w:ascii="Times New Roman" w:cs="Times New Roman" w:eastAsia="Times New Roman" w:hAnsi="Times New Roman"/>
          <w:sz w:val="18"/>
          <w:szCs w:val="18"/>
          <w:color w:val="auto"/>
        </w:rPr>
        <w:t>on February 15, 2022. The Cybersecurity Review Measures provide that a “network platform operator” that possesses personal information of more than one million users and seeks a listing in a foreign country must apply for a cybersecurity review. Further, the relevant PRC governmental authorities may initiate a cybersecurity review against any company if they determine certain network products, services, or data processing activities of such company affect or may affect national security. Additionally, where the relevant activity affects or may affect national security, a “critical information infrastructure operator (“</w:t>
      </w:r>
      <w:r>
        <w:rPr>
          <w:rFonts w:ascii="Times New Roman" w:cs="Times New Roman" w:eastAsia="Times New Roman" w:hAnsi="Times New Roman"/>
          <w:sz w:val="18"/>
          <w:szCs w:val="18"/>
          <w:b w:val="1"/>
          <w:bCs w:val="1"/>
          <w:color w:val="auto"/>
        </w:rPr>
        <w:t>CIIO</w:t>
      </w:r>
      <w:r>
        <w:rPr>
          <w:rFonts w:ascii="Times New Roman" w:cs="Times New Roman" w:eastAsia="Times New Roman" w:hAnsi="Times New Roman"/>
          <w:sz w:val="18"/>
          <w:szCs w:val="18"/>
          <w:color w:val="auto"/>
        </w:rPr>
        <w:t>”)” that purchases network products and services, or an internet platform operator that conducts data process activities, shall be subject to the cybersecurity review.</w:t>
      </w:r>
    </w:p>
    <w:p>
      <w:pPr>
        <w:spacing w:after="0" w:line="112" w:lineRule="exact"/>
        <w:rPr>
          <w:sz w:val="20"/>
          <w:szCs w:val="20"/>
          <w:color w:val="auto"/>
        </w:rPr>
      </w:pPr>
    </w:p>
    <w:p>
      <w:pPr>
        <w:jc w:val="both"/>
        <w:ind w:left="1280" w:right="399" w:firstLine="360"/>
        <w:spacing w:after="0" w:line="245" w:lineRule="auto"/>
        <w:rPr>
          <w:sz w:val="20"/>
          <w:szCs w:val="20"/>
          <w:color w:val="auto"/>
        </w:rPr>
      </w:pPr>
      <w:r>
        <w:rPr>
          <w:rFonts w:ascii="Times New Roman" w:cs="Times New Roman" w:eastAsia="Times New Roman" w:hAnsi="Times New Roman"/>
          <w:sz w:val="18"/>
          <w:szCs w:val="18"/>
          <w:color w:val="auto"/>
        </w:rPr>
        <w:t>As announced by the CAC, the China Cybersecurity review, Certification and Market Regulation Big Data Center is entrusted by the Cybersecurity Review Office and under its guidance, to undertake specific work of the cybersecurity review such as receipt of materials and formal review of such materials and setup a hotline or the consultation regarding cybersecurity review. As a network platform operator who possesses personal information of more than one million users for purposes of the Cybersecurity Review Measures, we have applied for and completed a cybersecurity review with respect to our proposed overseas listing pursuant to the Cybersecurity Review Measures.</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PRC CSRC Filing and Reporting Requirements</w:t>
      </w:r>
    </w:p>
    <w:p>
      <w:pPr>
        <w:spacing w:after="0" w:line="158" w:lineRule="exact"/>
        <w:rPr>
          <w:sz w:val="20"/>
          <w:szCs w:val="20"/>
          <w:color w:val="auto"/>
        </w:rPr>
      </w:pPr>
    </w:p>
    <w:p>
      <w:pPr>
        <w:jc w:val="both"/>
        <w:ind w:left="1280" w:right="399" w:firstLine="360"/>
        <w:spacing w:after="0" w:line="243"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(the “</w:t>
      </w:r>
      <w:r>
        <w:rPr>
          <w:rFonts w:ascii="Times New Roman" w:cs="Times New Roman" w:eastAsia="Times New Roman" w:hAnsi="Times New Roman"/>
          <w:sz w:val="18"/>
          <w:szCs w:val="18"/>
          <w:b w:val="1"/>
          <w:bCs w:val="1"/>
          <w:color w:val="auto"/>
        </w:rPr>
        <w:t>CSRC</w:t>
      </w:r>
      <w:r>
        <w:rPr>
          <w:rFonts w:ascii="Times New Roman" w:cs="Times New Roman" w:eastAsia="Times New Roman" w:hAnsi="Times New Roman"/>
          <w:sz w:val="18"/>
          <w:szCs w:val="18"/>
          <w:color w:val="auto"/>
        </w:rPr>
        <w:t>”) published the Trial Administrative Measures of the Overseas Securities Offering and Listing by Domestic Companies and five supporting guidelines, collectively the Overseas Listing Filing Rules, which came into effect on March 31, 2023 and regulate both direct and indirect overseas offering and listing of PRC-based companies by adopting a filing- based regulatory regime. According to the Overseas Listing Filing Rules, if the issuer meets both of the following criteria, the overseas securities offering and listing conducted by such issuers shall be deemed as indirect overseas offering and listing: (i) more than 50% of the issuer’s operating revenue, total profit, total assets or net assets as documented in its audited consolidated financial statements for the most recent accounting year is accounted for by domestic companies; and (ii) the main parts of the issuer’s business activities are conducted in China, or its main places of business are located in China, or the senior managers in charge of its business operation and management are majority Chinese citizens or domiciled in China. Therefore, we are required to comply with the relevant requirements under the Overseas Listing Filing Rules in connection with this offering.</w:t>
      </w:r>
    </w:p>
    <w:p>
      <w:pPr>
        <w:spacing w:after="0" w:line="324" w:lineRule="exact"/>
        <w:rPr>
          <w:sz w:val="20"/>
          <w:szCs w:val="20"/>
          <w:color w:val="auto"/>
        </w:rPr>
      </w:pPr>
    </w:p>
    <w:p>
      <w:pPr>
        <w:jc w:val="both"/>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The Overseas Listing Filing Rules provide that (i) the filing applications be submitted to the CSRC within three business days after the issuer submits its application documents relating to the initial public offering and/or listing in overseas; (ii) a timely report be submitted to the CSRC and update its CSRC filing within three business days after the occurrence of any of the following material events, if any of the following events occurs before the completion of the overseas offering and/or listing but after the completion of its CSRC filing: (a) any material change to principal business, licenses or qualifications of the issuer, (b) a change of control of the issuer or any material change to equity structure of the issuer, and</w:t>
      </w:r>
    </w:p>
    <w:p>
      <w:pPr>
        <w:spacing w:after="0" w:line="3" w:lineRule="exact"/>
        <w:rPr>
          <w:sz w:val="20"/>
          <w:szCs w:val="20"/>
          <w:color w:val="auto"/>
        </w:rPr>
      </w:pPr>
    </w:p>
    <w:p>
      <w:pPr>
        <w:jc w:val="both"/>
        <w:ind w:left="1280" w:right="399" w:hanging="2"/>
        <w:spacing w:after="0" w:line="250" w:lineRule="auto"/>
        <w:tabs>
          <w:tab w:leader="none" w:pos="15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to the offering and listing plan; (iii) after the completion of the listing, a report relating to the issuance information of such offering and/or listing be submitted to the CSRC and a report be submitted to the CSRC within three business days upon the occurrence and public announcement of any of the following material events after the overseas offering and/or listing: (a) a change of control of the issuer,</w:t>
      </w:r>
    </w:p>
    <w:p>
      <w:pPr>
        <w:spacing w:after="0" w:line="1" w:lineRule="exact"/>
        <w:rPr>
          <w:rFonts w:ascii="Times New Roman" w:cs="Times New Roman" w:eastAsia="Times New Roman" w:hAnsi="Times New Roman"/>
          <w:sz w:val="18"/>
          <w:szCs w:val="18"/>
          <w:color w:val="auto"/>
        </w:rPr>
      </w:pPr>
    </w:p>
    <w:p>
      <w:pPr>
        <w:jc w:val="both"/>
        <w:ind w:left="1280" w:right="399" w:hanging="2"/>
        <w:spacing w:after="0" w:line="252" w:lineRule="auto"/>
        <w:tabs>
          <w:tab w:leader="none" w:pos="15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investigation, sanction or other measures undertaken by any foreign securities regulatory agencies or relevant competent authorities in respect of the issuer, (c) change of the listing status or transfer of the listing board, and (d) the voluntary or mandatory delisting of the issuer; and (iv) where there is material change in the main business of the issuer after overseas offering and listing, which does not apply to the Overseas Listing Filing Rules therefore, such issuer shall submit to the CSRC the applicable filing materials within three business days after occurrence of such change.</w:t>
      </w:r>
    </w:p>
    <w:p>
      <w:pPr>
        <w:spacing w:after="0" w:line="109" w:lineRule="exact"/>
        <w:rPr>
          <w:sz w:val="20"/>
          <w:szCs w:val="20"/>
          <w:color w:val="auto"/>
        </w:rPr>
      </w:pPr>
    </w:p>
    <w:p>
      <w:pPr>
        <w:jc w:val="both"/>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Pursuant to the Overseas Listing Filing Rules, if a PRC-based company fails to comply with the filing procedure or otherwise violates the above mentioned requirements with respect to its overseas offering and listing, the CSRC shall order rectification, issue warnings to such PRC-based company and impose a fine of RMB1.0 million to RMB10.0 million on the company. In addition, management personnel and other persons directly responsible for the violations will be warned and fined between RMB0.5 million and RMB5.0 million. Controlling shareholders and actual controllers responsible for these violations will be fined between RMB1.0 million and RMB10.0 million.</w:t>
      </w:r>
    </w:p>
    <w:p>
      <w:pPr>
        <w:sectPr>
          <w:pgSz w:w="11900" w:h="16838" w:orient="portrait"/>
          <w:cols w:equalWidth="0" w:num="1">
            <w:col w:w="9879"/>
          </w:cols>
          <w:pgMar w:left="580" w:top="97" w:right="1440" w:bottom="1440" w:gutter="0" w:footer="0" w:header="0"/>
        </w:sectPr>
      </w:pPr>
    </w:p>
    <w:p>
      <w:pPr>
        <w:spacing w:after="0" w:line="3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firstLine="360"/>
        <w:spacing w:after="0" w:line="243" w:lineRule="auto"/>
        <w:rPr>
          <w:sz w:val="20"/>
          <w:szCs w:val="20"/>
          <w:color w:val="auto"/>
        </w:rPr>
      </w:pPr>
      <w:r>
        <w:rPr>
          <w:rFonts w:ascii="Times New Roman" w:cs="Times New Roman" w:eastAsia="Times New Roman" w:hAnsi="Times New Roman"/>
          <w:sz w:val="18"/>
          <w:szCs w:val="18"/>
          <w:color w:val="auto"/>
        </w:rPr>
        <w:t>We have completed the filings with the CSRC for this offering and the CSRC has concluded the filing procedure and published the filing results on the CSRC website on March 6, 2025. As of the date of this prospectus, we have not been denied for or failed to complete any permissions, approvals or filings required from Chinese authorities to offer the securities being registered to foreign investors in this offering. Therefore, we believe we have received all requisite permissions from and completed all filings with Chinese authorities before the commencement of this offering explicitly required under current PRC laws, regulations and rules. Any failure or perceived failure of us to fully comply with such new regulatory requirements could result in penalties from the CSRC or other PRC regulatory authorities, including fines and penalties, significantly limit or completely hinder our ability to offer or continue to offer securities to investors, cause significant disruption to our business operations, and severely damage our reputation, which could materially and adversely affect our financial condition and results of operations and could cause the value of our securities to significantly decline or be worthless.</w:t>
      </w:r>
    </w:p>
    <w:p>
      <w:pPr>
        <w:spacing w:after="0" w:line="118" w:lineRule="exact"/>
        <w:rPr>
          <w:sz w:val="20"/>
          <w:szCs w:val="20"/>
          <w:color w:val="auto"/>
        </w:rPr>
      </w:pPr>
    </w:p>
    <w:p>
      <w:pPr>
        <w:jc w:val="both"/>
        <w:ind w:left="1280" w:right="399" w:firstLine="360"/>
        <w:spacing w:after="0" w:line="241" w:lineRule="auto"/>
        <w:rPr>
          <w:sz w:val="20"/>
          <w:szCs w:val="20"/>
          <w:color w:val="auto"/>
        </w:rPr>
      </w:pPr>
      <w:r>
        <w:rPr>
          <w:rFonts w:ascii="Times New Roman" w:cs="Times New Roman" w:eastAsia="Times New Roman" w:hAnsi="Times New Roman"/>
          <w:sz w:val="18"/>
          <w:szCs w:val="18"/>
          <w:color w:val="auto"/>
        </w:rPr>
        <w:t>In addition, our future financing activities may also need to be filed with and/or reported to the CSRC according to the Overseas Listing Filing Rules. However, given the Overseas Listing Filing Rules are relatively new and may be further updated, we cannot assure you that we will be able to complete such filings in a timely manner and fully comply with such rules in connection with this offering or our continued listing overseas and our overseas securities offerings in the future. As of the date of this prospectus, we have not received any official inquiry, notice, warning and investigation from the CSRC in connection with this offering in this regard. As per the CSRC notification, we must report the offering and listing status within 15 business days of completing this offering. If the offering is not completed within 12 months of the notification issuance date, and it is still ongoing, we must update the filing materials with the CSRC, which may require additional time for review. For details of the associated risks, see “Risk Factors — Risks Relating to Doing Business in China — The approval, filing or other requirements of the CSRC or other PRC regulatory authorities is required under PRC law in connection with our issuance of securities overseas. Failure to file or report with CSRC for this offering or any actions by the PRC government to exert more oversight and control over offerings that are conducted overseas and foreign investment in China-based issuers in the future could significantly limit or completely hinder our ability to offer or continue to offer our ordinary shares to investors and could cause the value of our ordinary shares to significantly decline or become worthless.” As the regulatory environments continue to evolve, we will continue to closely monitor developments in the PRC regarding requirements of the CSRC, the CAC, or other PRC regulatory authorities in connection with overseas listings and securities offerings.</w:t>
      </w:r>
    </w:p>
    <w:p>
      <w:pPr>
        <w:spacing w:after="0" w:line="3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Implications of the Holding Foreign Companies Accountable Act</w:t>
      </w:r>
    </w:p>
    <w:p>
      <w:pPr>
        <w:spacing w:after="0" w:line="162" w:lineRule="exact"/>
        <w:rPr>
          <w:sz w:val="20"/>
          <w:szCs w:val="20"/>
          <w:color w:val="auto"/>
        </w:rPr>
      </w:pPr>
    </w:p>
    <w:p>
      <w:pPr>
        <w:jc w:val="both"/>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Trading in our securities on U.S. markets, including Nasdaq, may be prohibited under the Holding Foreign Companies Accountable Act, as amended by the Consolidated Appropriations Act, 2023 (the “</w:t>
      </w:r>
      <w:r>
        <w:rPr>
          <w:rFonts w:ascii="Times New Roman" w:cs="Times New Roman" w:eastAsia="Times New Roman" w:hAnsi="Times New Roman"/>
          <w:sz w:val="18"/>
          <w:szCs w:val="18"/>
          <w:b w:val="1"/>
          <w:bCs w:val="1"/>
          <w:color w:val="auto"/>
        </w:rPr>
        <w:t>HFCAA</w:t>
      </w:r>
      <w:r>
        <w:rPr>
          <w:rFonts w:ascii="Times New Roman" w:cs="Times New Roman" w:eastAsia="Times New Roman" w:hAnsi="Times New Roman"/>
          <w:sz w:val="18"/>
          <w:szCs w:val="18"/>
          <w:color w:val="auto"/>
        </w:rPr>
        <w:t>”) if the Public Company Accounting Oversight Board (the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determines that it is unable to inspect or investigate completely our auditor for two consecutive years because of a position taken by authorities in a foreign jurisdiction. On December 16, 2021, the PCAOB issued the HFCAA Determination Report to notify the SEC of its determinations that the PCAOB was unable to inspect or investigate completely registered public accounting firms headquartered in mainland China and Hong Kong (the “</w:t>
      </w:r>
      <w:r>
        <w:rPr>
          <w:rFonts w:ascii="Times New Roman" w:cs="Times New Roman" w:eastAsia="Times New Roman" w:hAnsi="Times New Roman"/>
          <w:sz w:val="18"/>
          <w:szCs w:val="18"/>
          <w:b w:val="1"/>
          <w:bCs w:val="1"/>
          <w:color w:val="auto"/>
        </w:rPr>
        <w:t>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Determinations</w:t>
      </w:r>
      <w:r>
        <w:rPr>
          <w:rFonts w:ascii="Times New Roman" w:cs="Times New Roman" w:eastAsia="Times New Roman" w:hAnsi="Times New Roman"/>
          <w:sz w:val="18"/>
          <w:szCs w:val="18"/>
          <w:color w:val="auto"/>
        </w:rPr>
        <w:t>”), including our auditor which is headquartered in mainland China. On December 15,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PCAOB announced that it was able to conduct inspections and investigations of PCAOB-registered public accounting firms headquartered in mainland China and Hong Kong in 2022. The PCAOB vacated its previous 2021 Determinations accordingly.</w:t>
      </w:r>
    </w:p>
    <w:p>
      <w:pPr>
        <w:spacing w:after="0" w:line="343" w:lineRule="exact"/>
        <w:rPr>
          <w:sz w:val="20"/>
          <w:szCs w:val="20"/>
          <w:color w:val="auto"/>
        </w:rPr>
      </w:pPr>
    </w:p>
    <w:p>
      <w:pPr>
        <w:jc w:val="both"/>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However, whether the PCAOB will continue to be able to satisfactorily conduct inspections and investigations of PCAOB-registered public accounting firms headquartered in mainland China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and states that it has already made plans to resume regular inspections in the future.</w:t>
      </w:r>
    </w:p>
    <w:p>
      <w:pPr>
        <w:spacing w:after="0" w:line="322"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The PCAOB is required under the HFCAA to make its determination on an annual basis with regards to its ability to inspect and investigate completely accounting firms based in the mainland China and Hong Kong, among other jurisdictions. The possibility of being a “Commission-Identified Issuer” and risk of</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43" w:lineRule="auto"/>
        <w:rPr>
          <w:sz w:val="20"/>
          <w:szCs w:val="20"/>
          <w:color w:val="auto"/>
        </w:rPr>
      </w:pPr>
      <w:r>
        <w:rPr>
          <w:rFonts w:ascii="Times New Roman" w:cs="Times New Roman" w:eastAsia="Times New Roman" w:hAnsi="Times New Roman"/>
          <w:sz w:val="18"/>
          <w:szCs w:val="18"/>
          <w:color w:val="auto"/>
        </w:rPr>
        <w:t>delisting could continue to adversely affect the trading price of our securities. If the PCAOB determines in the future 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and if we were so identified for two consecutive years, trading in our securities on U.S. markets would be prohibited under the HFCAA and Nasdaq or any other U.S. exchange on which our securities are listed may determine to delist our securities. For more details, see “Risk Factors — Risks Relating to Doing Business in China — Trading in our securities may be prohibited under the Holding Foreign Companies Accountable Act if the PCAOB determines that it is unable to inspect or investigate completely our auditor, and as a result, U.S. national securities exchanges, such as Nasdaq, may determine to delist our securities. The delisting of the ADSs, or the threat of their being delisted, may materially and adversely affect the value of your investment.”</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 and This Offering</w:t>
      </w:r>
    </w:p>
    <w:p>
      <w:pPr>
        <w:spacing w:after="0" w:line="162"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We are required to obtain certain licenses, permits and approvals from, and complete certain registrations and filings with relevant governmental authorities in China, including but not limited to the CSRC and the CAC, in order to operate our business and conduct this offering.</w:t>
      </w:r>
    </w:p>
    <w:p>
      <w:pPr>
        <w:spacing w:after="0" w:line="102" w:lineRule="exact"/>
        <w:rPr>
          <w:sz w:val="20"/>
          <w:szCs w:val="20"/>
          <w:color w:val="auto"/>
        </w:rPr>
      </w:pPr>
    </w:p>
    <w:p>
      <w:pPr>
        <w:jc w:val="both"/>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With respect to our business operations, our PRC subsidiaries must (i) file commercial franchiser registrations with the Department of Commerce of the PRC to operate franchise businesses, (ii) obtain food operation licenses from the Administration for Market Regulation of the PRC for our company-owned teahouses in China, (iii) complete the applicable as-built acceptance fire safety filings and inspections for certain leased properties designated as public gathering premises, such as company-owned teahouses, and</w:t>
      </w:r>
    </w:p>
    <w:p>
      <w:pPr>
        <w:spacing w:after="0" w:line="2" w:lineRule="exact"/>
        <w:rPr>
          <w:sz w:val="20"/>
          <w:szCs w:val="20"/>
          <w:color w:val="auto"/>
        </w:rPr>
      </w:pPr>
    </w:p>
    <w:p>
      <w:pPr>
        <w:jc w:val="both"/>
        <w:ind w:left="1280" w:right="399" w:hanging="2"/>
        <w:spacing w:after="0" w:line="242" w:lineRule="auto"/>
        <w:tabs>
          <w:tab w:leader="none" w:pos="16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relevant filings with local authorities in China to distribute prepaid gift cards. Based on the opinions of King &amp; Wood Mallesons, our PRC legal counsel, as of the date of this prospectus, except as described otherwise below and under “Risk Factors — Risk Relating to Our Business and Industry — Any lack of requisite approvals, licenses or permits applicable to our or our franchise partners’ teahouses may have a material and adverse impact on our business, financial condition and results of operations,” our PRC subsidiaries have obtained all requisite licenses, permits and registrations from the PRC government authorities for our business operations in China, and none of these licenses, permits and registrations were denied previously.</w:t>
      </w:r>
    </w:p>
    <w:p>
      <w:pPr>
        <w:spacing w:after="0" w:line="328" w:lineRule="exact"/>
        <w:rPr>
          <w:sz w:val="20"/>
          <w:szCs w:val="20"/>
          <w:color w:val="auto"/>
        </w:rPr>
      </w:pPr>
    </w:p>
    <w:p>
      <w:pPr>
        <w:jc w:val="both"/>
        <w:ind w:left="1280" w:right="399" w:firstLine="360"/>
        <w:spacing w:after="0"/>
        <w:rPr>
          <w:sz w:val="20"/>
          <w:szCs w:val="20"/>
          <w:color w:val="auto"/>
        </w:rPr>
      </w:pPr>
      <w:r>
        <w:rPr>
          <w:rFonts w:ascii="Times New Roman" w:cs="Times New Roman" w:eastAsia="Times New Roman" w:hAnsi="Times New Roman"/>
          <w:sz w:val="18"/>
          <w:szCs w:val="18"/>
          <w:color w:val="auto"/>
        </w:rPr>
        <w:t>Specifically, to the extent we open a new company-owned teahouse, we may or may not be required to complete the as-built acceptance check on fire prevention or the fire safety filing upon completion of its construction, and the fire safety inspection before it commences operations, depending on local regulations, which vary across different cities based on factors including teahouse size and renovation. As of the date of this prospectus, some of our company-owned teahouses have not completed the required as-built acceptance fire safety filing and fire safety inspection. Teahouses that fail to complete the required as-built acceptance fire safety filings may be ordered to rectify and be subject to fines up to RMB5,000 per teahouse, and teahouses that operate without passing the fire safety inspection may be ordered to discontinue operations and may be subject to a fine up to RMB300,000 per teahouse. We are in the process of rectifying the above non-compliance incidents with respect to our company-owned teahouses. However, we cannot assure you that we will be able to fully rectify all non-compliance incidents in a timely manner or fully satisfy the regulatory requirements. Due to uncertainties in law interpretation and enforcement, as well as potential regulatory changes, we may need to secure additional approvals, licenses, or registrations for future operations. For more detailed information, see “Risk Factors — Risk Relating to Our Business and Industry</w:t>
      </w:r>
    </w:p>
    <w:p>
      <w:pPr>
        <w:spacing w:after="0" w:line="11" w:lineRule="exact"/>
        <w:rPr>
          <w:sz w:val="20"/>
          <w:szCs w:val="20"/>
          <w:color w:val="auto"/>
        </w:rPr>
      </w:pPr>
    </w:p>
    <w:p>
      <w:pPr>
        <w:ind w:left="1280" w:right="419"/>
        <w:spacing w:after="0" w:line="258" w:lineRule="auto"/>
        <w:rPr>
          <w:sz w:val="20"/>
          <w:szCs w:val="20"/>
          <w:color w:val="auto"/>
        </w:rPr>
      </w:pPr>
      <w:r>
        <w:rPr>
          <w:rFonts w:ascii="Times New Roman" w:cs="Times New Roman" w:eastAsia="Times New Roman" w:hAnsi="Times New Roman"/>
          <w:sz w:val="18"/>
          <w:szCs w:val="18"/>
          <w:color w:val="auto"/>
        </w:rPr>
        <w:t>— Any lack of requisite approvals, licenses or permits applicable to our or our franchise partners’ teahouses may have a material and adverse impact on our business, financial condition and results of operations.”</w:t>
      </w:r>
    </w:p>
    <w:p>
      <w:pPr>
        <w:spacing w:after="0" w:line="102" w:lineRule="exact"/>
        <w:rPr>
          <w:sz w:val="20"/>
          <w:szCs w:val="20"/>
          <w:color w:val="auto"/>
        </w:rPr>
      </w:pPr>
    </w:p>
    <w:p>
      <w:pPr>
        <w:jc w:val="both"/>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With respect to this offering and our proposed overseas listing, we have applied for and completed a cybersecurity review pursuant to the Cybersecurity Review Measures; and we have also completed the filings with the CSRC for this offering and our proposed overseas listing and the CSRC has concluded the filing procedure and published the filing results on the CSRC website on March 6, 2025. See “— PRC Cybersecurity Review” and “— PRC CSRC Filing and Reporting Requirements” above for details.</w:t>
      </w:r>
    </w:p>
    <w:p>
      <w:pPr>
        <w:spacing w:after="0" w:line="114" w:lineRule="exact"/>
        <w:rPr>
          <w:sz w:val="20"/>
          <w:szCs w:val="20"/>
          <w:color w:val="auto"/>
        </w:rPr>
      </w:pPr>
    </w:p>
    <w:p>
      <w:pPr>
        <w:jc w:val="both"/>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We manage our business operations in a prudent manner where we determine whether a particular regulatory permission or approval is required based on opinions and guidance from our in-house and external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962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809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58" w:lineRule="auto"/>
        <w:rPr>
          <w:sz w:val="20"/>
          <w:szCs w:val="20"/>
          <w:color w:val="auto"/>
        </w:rPr>
      </w:pPr>
      <w:r>
        <w:rPr>
          <w:rFonts w:ascii="Times New Roman" w:cs="Times New Roman" w:eastAsia="Times New Roman" w:hAnsi="Times New Roman"/>
          <w:sz w:val="18"/>
          <w:szCs w:val="18"/>
          <w:color w:val="auto"/>
        </w:rPr>
        <w:t>legal counsel and relevant governmental authorities, as the case may be. As of the date of this prospectus, we have not received any regulatory notice requesting us to obtain a permission or approval that we have concluded is not required. If we inadvertently concluded that any permission or approval was not required, we could be subject to administrative penalties as provided in relevant PRC laws and regulations, as if such permission or approval were not obtained.</w:t>
      </w:r>
    </w:p>
    <w:p>
      <w:pPr>
        <w:spacing w:after="0" w:line="116" w:lineRule="exact"/>
        <w:rPr>
          <w:sz w:val="20"/>
          <w:szCs w:val="20"/>
          <w:color w:val="auto"/>
        </w:rPr>
      </w:pPr>
    </w:p>
    <w:p>
      <w:pPr>
        <w:jc w:val="both"/>
        <w:ind w:left="1280" w:right="399" w:firstLine="360"/>
        <w:spacing w:after="0" w:line="252" w:lineRule="auto"/>
        <w:rPr>
          <w:sz w:val="20"/>
          <w:szCs w:val="20"/>
          <w:color w:val="auto"/>
        </w:rPr>
      </w:pPr>
      <w:r>
        <w:rPr>
          <w:rFonts w:ascii="Times New Roman" w:cs="Times New Roman" w:eastAsia="Times New Roman" w:hAnsi="Times New Roman"/>
          <w:sz w:val="18"/>
          <w:szCs w:val="18"/>
          <w:color w:val="auto"/>
        </w:rPr>
        <w:t>Administrative penalties or other legal consequences vary based on the provisions of the relevant laws and/or regulations that are inadvertently breached. For more information, see “Regulations.” In addition, there remains substantial uncertainty as to what the consequences would be in the event of a change in laws, regulations, or interpretations, which largely depend on the specific rule-making. While we continue to keep abreast of regulatory developments in China, our business may be disrupted and our results of operations may suffer if there are new laws, regulations, policies or guidelines introduced to impose additional regulatory approvals, licenses, permits and requirements. We cannot guarantee that we and our subsidiaries are able to obtain or maintain requisite permissions or approvals at all times or that we will be in full compliance with any new laws and regulations. Any non-compliance may lead to orders requiring us to rectify, suspend, or terminate illegal actions or services by regulatory authorities, accompanied by significant penalties. We may also face government inquiries, investigations, or other actions due to the complex and evolving regulatory landscape. Consequently, we may encounter operational challenges, increased costs, diversion of management resources, liabilities, and growth impediments, all of which could materially impact our business, financial condition, results, and the value of the ADSs. See “Risk Factors — Risks Relating to Doing Business in China — The PRC government exerts substantial influence over the manner in which we conduct our business operations. Our business is subject to complex and evolving policies, laws and regulations, the application, interpretation and enforcement of which may be changed from time to time. Failure to comply with these laws and regulations may materially and adversely affect us.”</w:t>
      </w:r>
    </w:p>
    <w:p>
      <w:pPr>
        <w:spacing w:after="0" w:line="340"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Based on the opinions of King &amp; Wood Mallesons, our PRC legal counsel, save as disclosed above, we are not required to obtain any other permission or approval from regulatory authorities in China to operate our business or conduct this offering as of the date of this prospectus.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48"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Tower B, Hongqiao Lianhe Building, No. 99 Kaihong Road, Changning District, Shanghai, People’s Republic of China, 200051. Our telephone number at this address is +86 186 8893 0014. Our registered office in the Cayman Islands is located at the offices of Maples Corporate Services Limited, PO Box 309, Ugland House, Grand Cayman, KY1-1104, Cayman Islands. Our agent for service of process in the United States is Cogency Global Inc.</w:t>
      </w:r>
    </w:p>
    <w:p>
      <w:pPr>
        <w:spacing w:after="0" w:line="116"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Investors should contact us for any inquiries through the address and telephone number of our principal executive office. Our principal website is investor.chagee.com. The information contained on our website is not a part of this prospectus.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62" w:lineRule="exact"/>
        <w:rPr>
          <w:sz w:val="20"/>
          <w:szCs w:val="20"/>
          <w:color w:val="auto"/>
        </w:rPr>
      </w:pPr>
    </w:p>
    <w:p>
      <w:pPr>
        <w:jc w:val="both"/>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under the Exchange Act from, among other things, the rules under the Exchange Act requiring the filing of quarterly reports on Form 10-Q or current reports on Form 8-K with the SEC,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We will be required to file an annual report on Form 20-F within four months of the end of each fiscal year and we intend to publish our results on a quarterly basis. However, the information we are required to file with or furnish to the SEC will be less extensive and less timely compared to that required to be filed with the SEC by U.S. domestic issuers.</w:t>
      </w:r>
    </w:p>
    <w:p>
      <w:pPr>
        <w:spacing w:after="0" w:line="111" w:lineRule="exact"/>
        <w:rPr>
          <w:sz w:val="20"/>
          <w:szCs w:val="20"/>
          <w:color w:val="auto"/>
        </w:rPr>
      </w:pPr>
    </w:p>
    <w:p>
      <w:pPr>
        <w:jc w:val="both"/>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In addition, as a company incorporated in the Cayman Islands, we are permitted to adopt certain home country practices in relation to corporate governance matters that differ significantly from the Nasdaq</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82" w:lineRule="auto"/>
        <w:rPr>
          <w:sz w:val="20"/>
          <w:szCs w:val="20"/>
          <w:color w:val="auto"/>
        </w:rPr>
      </w:pPr>
      <w:r>
        <w:rPr>
          <w:rFonts w:ascii="Times New Roman" w:cs="Times New Roman" w:eastAsia="Times New Roman" w:hAnsi="Times New Roman"/>
          <w:sz w:val="18"/>
          <w:szCs w:val="18"/>
          <w:color w:val="auto"/>
        </w:rPr>
        <w:t>corporate governance listing standards. These practices may afford less protection to shareholders than they would enjoy if we complied fully with the Nasdaq corporate governance listing standards.</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 Controlled Company</w:t>
      </w:r>
    </w:p>
    <w:p>
      <w:pPr>
        <w:spacing w:after="0" w:line="162" w:lineRule="exact"/>
        <w:rPr>
          <w:sz w:val="20"/>
          <w:szCs w:val="20"/>
          <w:color w:val="auto"/>
        </w:rPr>
      </w:pPr>
    </w:p>
    <w:p>
      <w:pPr>
        <w:jc w:val="both"/>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Immediately following the completion of this offering, Mr. Junjie Zhang, our founder, chairman of the board, and chief executive officer, will beneficially own 53.8% of our total issued and outstanding ordinary shares, representing 89.0% of our total voting power, assuming that the underwriters do not exercise their option to purchase additional ADSs, or 53.2% of our total issued and outstanding ordinary shares, representing 88.7% of our total voting power, assuming that the option to purchase additional ADSs is exercised by the underwriters in full. As a result, we will be a “controlled company” as defined under the Nasdaq rules because Mr. Junjie Zhang will hold more than 50% of the voting power for the election of directors upon the completion of this offering. As a “controlled company,” we are permitted to, and currently intend to, elect to rely on certain exemptions from corporate governance rules, including:</w:t>
      </w:r>
    </w:p>
    <w:p>
      <w:pPr>
        <w:spacing w:after="0" w:line="79" w:lineRule="exact"/>
        <w:rPr>
          <w:sz w:val="20"/>
          <w:szCs w:val="20"/>
          <w:color w:val="auto"/>
        </w:rPr>
      </w:pPr>
    </w:p>
    <w:p>
      <w:pPr>
        <w:ind w:left="1820" w:hanging="182"/>
        <w:spacing w:after="0"/>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rule that a majority of our board of directors must be independent directors;</w:t>
      </w:r>
    </w:p>
    <w:p>
      <w:pPr>
        <w:spacing w:after="0" w:line="10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rule that each of our compensation committee members must be an independent director;</w:t>
      </w:r>
    </w:p>
    <w:p>
      <w:pPr>
        <w:spacing w:after="0" w:line="40"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rule that the compensation of our chief executive officer must be determined or recommended solely by independent directors; and</w:t>
      </w:r>
    </w:p>
    <w:p>
      <w:pPr>
        <w:spacing w:after="0" w:line="40"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rule that our director nominees must be selected or recommended solely by independent directors.</w:t>
      </w:r>
    </w:p>
    <w:p>
      <w:pPr>
        <w:spacing w:after="0" w:line="94" w:lineRule="exact"/>
        <w:rPr>
          <w:sz w:val="20"/>
          <w:szCs w:val="20"/>
          <w:color w:val="auto"/>
        </w:rPr>
      </w:pPr>
    </w:p>
    <w:p>
      <w:pPr>
        <w:jc w:val="both"/>
        <w:ind w:left="1280" w:right="419" w:firstLine="360"/>
        <w:spacing w:after="0" w:line="266" w:lineRule="auto"/>
        <w:rPr>
          <w:sz w:val="20"/>
          <w:szCs w:val="20"/>
          <w:color w:val="auto"/>
        </w:rPr>
      </w:pPr>
      <w:r>
        <w:rPr>
          <w:rFonts w:ascii="Times New Roman" w:cs="Times New Roman" w:eastAsia="Times New Roman" w:hAnsi="Times New Roman"/>
          <w:sz w:val="18"/>
          <w:szCs w:val="18"/>
          <w:color w:val="auto"/>
        </w:rPr>
        <w:t>As a result, you may not have the same protection afforded to shareholders of companies that are subject to these corporate governance requirements.</w:t>
      </w:r>
    </w:p>
    <w:p>
      <w:pPr>
        <w:spacing w:after="0" w:line="95" w:lineRule="exact"/>
        <w:rPr>
          <w:sz w:val="20"/>
          <w:szCs w:val="20"/>
          <w:color w:val="auto"/>
        </w:rPr>
      </w:pPr>
    </w:p>
    <w:p>
      <w:pPr>
        <w:jc w:val="both"/>
        <w:ind w:left="1280" w:right="399" w:firstLine="360"/>
        <w:spacing w:after="0" w:line="244" w:lineRule="auto"/>
        <w:rPr>
          <w:sz w:val="20"/>
          <w:szCs w:val="20"/>
          <w:color w:val="auto"/>
        </w:rPr>
      </w:pPr>
      <w:r>
        <w:rPr>
          <w:rFonts w:ascii="Times New Roman" w:cs="Times New Roman" w:eastAsia="Times New Roman" w:hAnsi="Times New Roman"/>
          <w:sz w:val="18"/>
          <w:szCs w:val="18"/>
          <w:color w:val="auto"/>
        </w:rPr>
        <w:t>Furthermore, immediately following the completion of this offering, Mr. Junjie Zhang will be able to determine the outcome of matters requiring shareholder approval. For details about the risks associated with being a controlled company or our dual- class share structure, see “Risk Factors — Risks Relating to the ADSs and This Offering — We will be a “controlled company” within the meaning of the rules of Nasdaq and, as a result, may rely on exemptions from certain corporate governance requirements that provide protection to shareholders of other companies” on pages 63 and 64 of this prospectus, and “— Our dual-class share structure with different voting rights will limit your ability to influence corporate matters and could discourage others from pursuing any change of control transactions that holders of our Class A ordinary shares and ADSs may view as beneficial” on page 64 of this prospectus.</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Conventions which Apply to This Prospectus</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Unless we indicate otherwise, all information in this prospectus reflects the following:</w:t>
      </w:r>
    </w:p>
    <w:p>
      <w:pPr>
        <w:spacing w:after="0" w:line="117" w:lineRule="exact"/>
        <w:rPr>
          <w:sz w:val="20"/>
          <w:szCs w:val="20"/>
          <w:color w:val="auto"/>
        </w:rPr>
      </w:pPr>
    </w:p>
    <w:p>
      <w:pPr>
        <w:ind w:left="1820" w:right="399" w:hanging="182"/>
        <w:spacing w:after="0" w:line="282"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members” refer to registered members who placed an order for our products at least once in a given period;</w:t>
      </w:r>
    </w:p>
    <w:p>
      <w:pPr>
        <w:spacing w:after="0" w:line="26"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the American depositary shares, each representing Class A ordinary shares;</w:t>
      </w:r>
    </w:p>
    <w:p>
      <w:pPr>
        <w:spacing w:after="0" w:line="10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GMV per teahouse” refers to the average monthly GMV generated by monthly fully operational teahouses. Specifically:</w:t>
      </w:r>
    </w:p>
    <w:p>
      <w:pPr>
        <w:spacing w:after="0" w:line="40" w:lineRule="exact"/>
        <w:rPr>
          <w:rFonts w:ascii="Times New Roman" w:cs="Times New Roman" w:eastAsia="Times New Roman" w:hAnsi="Times New Roman"/>
          <w:sz w:val="18"/>
          <w:szCs w:val="18"/>
          <w:color w:val="auto"/>
        </w:rPr>
      </w:pPr>
    </w:p>
    <w:p>
      <w:pPr>
        <w:ind w:left="2180" w:hanging="182"/>
        <w:spacing w:after="0"/>
        <w:tabs>
          <w:tab w:leader="none" w:pos="21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given calendar month, the average monthly GMV per teahouse is calculated by dividing</w:t>
      </w:r>
    </w:p>
    <w:p>
      <w:pPr>
        <w:spacing w:after="0" w:line="27" w:lineRule="exact"/>
        <w:rPr>
          <w:rFonts w:ascii="Times New Roman" w:cs="Times New Roman" w:eastAsia="Times New Roman" w:hAnsi="Times New Roman"/>
          <w:sz w:val="18"/>
          <w:szCs w:val="18"/>
          <w:color w:val="auto"/>
        </w:rPr>
      </w:pPr>
    </w:p>
    <w:p>
      <w:pPr>
        <w:ind w:left="2180" w:right="399" w:hanging="2"/>
        <w:spacing w:after="0" w:line="260" w:lineRule="auto"/>
        <w:tabs>
          <w:tab w:leader="none" w:pos="2426"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GMV generated by the monthly fully operational teahouses during that specific calendar month by (ii) the total number of monthly fully operational teahouses; and</w:t>
      </w:r>
    </w:p>
    <w:p>
      <w:pPr>
        <w:spacing w:after="0" w:line="59" w:lineRule="exact"/>
        <w:rPr>
          <w:rFonts w:ascii="Times New Roman" w:cs="Times New Roman" w:eastAsia="Times New Roman" w:hAnsi="Times New Roman"/>
          <w:sz w:val="18"/>
          <w:szCs w:val="18"/>
          <w:color w:val="auto"/>
        </w:rPr>
      </w:pPr>
    </w:p>
    <w:p>
      <w:pPr>
        <w:jc w:val="both"/>
        <w:ind w:left="2180" w:right="399" w:hanging="182"/>
        <w:spacing w:after="0" w:line="258" w:lineRule="auto"/>
        <w:tabs>
          <w:tab w:leader="none" w:pos="21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given year or a quarter within that specific year, the average monthly GMV per teahouse is calculated by dividing (i) the sum of GMV generated by the monthly fully operational teahouses in each calendar month during that specific year or quarter, as the case may be, by (ii) the sum of the total number of monthly fully operational teahouses in each calendar month during that specific year or quarter.</w:t>
      </w:r>
    </w:p>
    <w:p>
      <w:pPr>
        <w:spacing w:after="0" w:line="61"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number of cups sold per teahouse per month”, for a given calendar month, refers to the average number of cups sold by the monthly fully operational teahouses during that specific month.</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022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6245" cy="800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820" w:right="399"/>
        <w:spacing w:after="0" w:line="250" w:lineRule="auto"/>
        <w:rPr>
          <w:sz w:val="20"/>
          <w:szCs w:val="20"/>
          <w:color w:val="auto"/>
        </w:rPr>
      </w:pPr>
      <w:r>
        <w:rPr>
          <w:rFonts w:ascii="Times New Roman" w:cs="Times New Roman" w:eastAsia="Times New Roman" w:hAnsi="Times New Roman"/>
          <w:sz w:val="18"/>
          <w:szCs w:val="18"/>
          <w:color w:val="auto"/>
        </w:rPr>
        <w:t>For a given year or a quarter within that specific year, the average number of cups sold per teahouse per month is calculated by dividing (i) the sum of the number of cups sold by the monthly fully operational teahouses in each calendar month during that specific year or quarter, as the case may be, by (ii) the sum of the total number of monthly fully operational teahouses in each calendar month during that specific year or quarter;</w:t>
      </w:r>
    </w:p>
    <w:p>
      <w:pPr>
        <w:spacing w:after="0" w:line="42" w:lineRule="exact"/>
        <w:rPr>
          <w:sz w:val="20"/>
          <w:szCs w:val="20"/>
          <w:color w:val="auto"/>
        </w:rPr>
      </w:pPr>
    </w:p>
    <w:p>
      <w:pPr>
        <w:ind w:left="1820" w:right="39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“CAGR”, also known as compounded annual growth rate, refers to the mean annual growth rate of an investment over a specified period of time longer than one year;</w:t>
      </w:r>
    </w:p>
    <w:p>
      <w:pPr>
        <w:spacing w:after="0" w:line="40" w:lineRule="exact"/>
        <w:rPr>
          <w:rFonts w:ascii="Times New Roman" w:cs="Times New Roman" w:eastAsia="Times New Roman" w:hAnsi="Times New Roman"/>
          <w:sz w:val="18"/>
          <w:szCs w:val="18"/>
          <w:color w:val="auto"/>
        </w:rPr>
      </w:pPr>
    </w:p>
    <w:p>
      <w:pPr>
        <w:ind w:left="1820" w:right="399" w:hanging="182"/>
        <w:spacing w:after="0" w:line="261"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 China” refers to Shandong, Shanxi, Henan, Shaanxi, Hubei and Hunan under our classification;</w:t>
      </w:r>
    </w:p>
    <w:p>
      <w:pPr>
        <w:spacing w:after="0" w:line="287"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and only in the context of describing PRC laws, regulations and other legal or tax matters in this prospectus, excludes Hong Kong, Macau and Taiwan;</w:t>
      </w:r>
    </w:p>
    <w:p>
      <w:pPr>
        <w:spacing w:after="0" w:line="54"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 refers to our Class A ordinary shares, par value US$0.0001 per share;</w:t>
      </w:r>
    </w:p>
    <w:p>
      <w:pPr>
        <w:spacing w:after="0" w:line="9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 refers to our Class B ordinary shares, par value US$0.0001 per share;</w:t>
      </w:r>
    </w:p>
    <w:p>
      <w:pPr>
        <w:spacing w:after="0" w:line="90"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“Chagee,” “we,” “us,” “our company,” and “our” refer to Chagee Holdings Limited, a Cayman Islands exempted company and its subsidiaries;</w:t>
      </w:r>
    </w:p>
    <w:p>
      <w:pPr>
        <w:spacing w:after="0" w:line="4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“Eastern China” refers to Zhejiang, Anhui, Jiangsu, Jiangxi and Shanghai under our classification;</w:t>
      </w:r>
    </w:p>
    <w:p>
      <w:pPr>
        <w:spacing w:after="0" w:line="90" w:lineRule="exact"/>
        <w:rPr>
          <w:rFonts w:ascii="Times New Roman" w:cs="Times New Roman" w:eastAsia="Times New Roman" w:hAnsi="Times New Roman"/>
          <w:sz w:val="18"/>
          <w:szCs w:val="18"/>
          <w:color w:val="auto"/>
        </w:rPr>
      </w:pPr>
    </w:p>
    <w:p>
      <w:pPr>
        <w:jc w:val="both"/>
        <w:ind w:left="1820" w:right="399" w:hanging="182"/>
        <w:spacing w:after="0" w:line="256"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“GMV” refers to gross merchandise value, a key operating metric that our management uses to measure and evaluate teahouses’ sales performance, which represents the sales value of product(s) in consumer orders (excluding unfulfilled, canceled or returned consumer orders, and including relevant value-added taxes) before discounts, if any, are applied, including shipping charges paid by consumers for orders placed on our mobile mini program, but excluding those charges paid by consumers for orders placed on other third-party online delivery platforms;</w:t>
      </w:r>
    </w:p>
    <w:p>
      <w:pPr>
        <w:spacing w:after="0" w:line="79"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refers to the Hong Kong Special Administrative Region of the PRC;</w:t>
      </w:r>
    </w:p>
    <w:p>
      <w:pPr>
        <w:spacing w:after="0" w:line="117"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Company Share Incentive Plan” refers to our share-based awards scheme adopted in February 2024;</w:t>
      </w:r>
    </w:p>
    <w:p>
      <w:pPr>
        <w:spacing w:after="0" w:line="4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“Macau” refers to the Macao Special Administrative Region of the PRC;</w:t>
      </w:r>
    </w:p>
    <w:p>
      <w:pPr>
        <w:spacing w:after="0" w:line="117"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fully operational teahouses” refer to teahouses that have operated on each calendar day throughout a given calendar month;</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members” refer to member accounts registered with our mobile mini program;</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the People’s Republic of China;</w:t>
      </w:r>
    </w:p>
    <w:p>
      <w:pPr>
        <w:spacing w:after="0" w:line="10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refer to our Class A ordinary shares and Class B ordinary shares, par value US$0.0001 per share;</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“Southern China” refers to Guangdong, Hainan and Fujian under our classification;</w:t>
      </w:r>
    </w:p>
    <w:p>
      <w:pPr>
        <w:spacing w:after="0" w:line="117"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“Southwestern China” refers to Yunnan, Guangxi, Guizhou, Sichuan and Chongqing under our classification;</w:t>
      </w:r>
    </w:p>
    <w:p>
      <w:pPr>
        <w:spacing w:after="0" w:line="4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or “U.S. dollars” refers to the legal currency of the United States; and</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the accounting principles generally accepted in the United States of America.</w:t>
      </w:r>
    </w:p>
    <w:p>
      <w:pPr>
        <w:spacing w:after="0" w:line="158" w:lineRule="exact"/>
        <w:rPr>
          <w:sz w:val="20"/>
          <w:szCs w:val="20"/>
          <w:color w:val="auto"/>
        </w:rPr>
      </w:pPr>
    </w:p>
    <w:p>
      <w:pPr>
        <w:jc w:val="both"/>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Unless otherwise noted, all translations from Renminbi to U.S. dollars and from U.S. dollars to Renminbi in this prospectus are made at RMB7.2993 to US$1.00, the exchange rate set forth in the H.10 statistical release of the Federal Reserve Board on December 31 2024. We make no representation that any Renminbi or U.S. dollar amounts could have been, or could be, converted into U.S. dollars or Renminbi, as the case may be, at any particular rate, the rates stated below, or at all.</w:t>
      </w:r>
    </w:p>
    <w:p>
      <w:pPr>
        <w:spacing w:after="0" w:line="114"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This prospectus contains information derived from various public sources and certain information from an industry report commissioned by us and prepared by iResearch, a third-party industry research firm, to provide information regarding our industry and market position. Such information involves a number of</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58" w:lineRule="auto"/>
        <w:rPr>
          <w:sz w:val="20"/>
          <w:szCs w:val="20"/>
          <w:color w:val="auto"/>
        </w:rPr>
      </w:pPr>
      <w:r>
        <w:rPr>
          <w:rFonts w:ascii="Times New Roman" w:cs="Times New Roman" w:eastAsia="Times New Roman" w:hAnsi="Times New Roman"/>
          <w:sz w:val="18"/>
          <w:szCs w:val="18"/>
          <w:color w:val="auto"/>
        </w:rPr>
        <w:t>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variety of factors, including those described in the “Risk Factors” section. These and other factors could cause results to differ materially from those expressed in these publications and reports.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4734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16245" cy="847344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Offering price</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ADSs offered by us</w:t>
      </w:r>
    </w:p>
    <w:p>
      <w:pPr>
        <w:spacing w:after="0" w:line="3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460" w:hanging="179"/>
        <w:spacing w:after="0" w:line="266" w:lineRule="auto"/>
        <w:rPr>
          <w:sz w:val="20"/>
          <w:szCs w:val="20"/>
          <w:color w:val="auto"/>
        </w:rPr>
      </w:pPr>
      <w:r>
        <w:rPr>
          <w:rFonts w:ascii="Times New Roman" w:cs="Times New Roman" w:eastAsia="Times New Roman" w:hAnsi="Times New Roman"/>
          <w:sz w:val="18"/>
          <w:szCs w:val="18"/>
          <w:color w:val="auto"/>
        </w:rPr>
        <w:t>Ordinary shares issued and outstanding immediately after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US$28.0 per ADS.</w:t>
      </w:r>
    </w:p>
    <w:p>
      <w:pPr>
        <w:spacing w:after="0" w:line="117" w:lineRule="exact"/>
        <w:rPr>
          <w:sz w:val="20"/>
          <w:szCs w:val="20"/>
          <w:color w:val="auto"/>
        </w:rPr>
      </w:pPr>
    </w:p>
    <w:p>
      <w:pPr>
        <w:jc w:val="both"/>
        <w:ind w:right="399"/>
        <w:spacing w:after="0" w:line="282" w:lineRule="auto"/>
        <w:rPr>
          <w:sz w:val="20"/>
          <w:szCs w:val="20"/>
          <w:color w:val="auto"/>
        </w:rPr>
      </w:pPr>
      <w:r>
        <w:rPr>
          <w:rFonts w:ascii="Times New Roman" w:cs="Times New Roman" w:eastAsia="Times New Roman" w:hAnsi="Times New Roman"/>
          <w:sz w:val="18"/>
          <w:szCs w:val="18"/>
          <w:color w:val="auto"/>
        </w:rPr>
        <w:t>14,683,991 ADSs (or 16,886,589 ADSs if the underwriters exercise their over-allotment option in full).</w:t>
      </w:r>
    </w:p>
    <w:p>
      <w:pPr>
        <w:spacing w:after="0" w:line="54" w:lineRule="exact"/>
        <w:rPr>
          <w:sz w:val="20"/>
          <w:szCs w:val="20"/>
          <w:color w:val="auto"/>
        </w:rPr>
      </w:pPr>
    </w:p>
    <w:p>
      <w:pPr>
        <w:jc w:val="both"/>
        <w:ind w:right="399"/>
        <w:spacing w:after="0" w:line="261" w:lineRule="auto"/>
        <w:rPr>
          <w:sz w:val="20"/>
          <w:szCs w:val="20"/>
          <w:color w:val="auto"/>
        </w:rPr>
      </w:pPr>
      <w:r>
        <w:rPr>
          <w:rFonts w:ascii="Times New Roman" w:cs="Times New Roman" w:eastAsia="Times New Roman" w:hAnsi="Times New Roman"/>
          <w:sz w:val="18"/>
          <w:szCs w:val="18"/>
          <w:color w:val="auto"/>
        </w:rPr>
        <w:t>Each ADS represents one Class A ordinary share, par value US$0.0001 per share. The depositary will hold the Class A ordinary shares underlying the ADSs through a custodian. You will have rights as provided in the deposit agreement.</w:t>
      </w:r>
    </w:p>
    <w:p>
      <w:pPr>
        <w:spacing w:after="0" w:line="112" w:lineRule="exact"/>
        <w:rPr>
          <w:sz w:val="20"/>
          <w:szCs w:val="20"/>
          <w:color w:val="auto"/>
        </w:rPr>
      </w:pPr>
    </w:p>
    <w:p>
      <w:pPr>
        <w:jc w:val="both"/>
        <w:ind w:right="399"/>
        <w:spacing w:after="0" w:line="247" w:lineRule="auto"/>
        <w:rPr>
          <w:sz w:val="20"/>
          <w:szCs w:val="20"/>
          <w:color w:val="auto"/>
        </w:rPr>
      </w:pPr>
      <w:r>
        <w:rPr>
          <w:rFonts w:ascii="Times New Roman" w:cs="Times New Roman" w:eastAsia="Times New Roman" w:hAnsi="Times New Roman"/>
          <w:sz w:val="18"/>
          <w:szCs w:val="18"/>
          <w:color w:val="auto"/>
        </w:rPr>
        <w:t>We do not expect to pay dividends in the foreseeable future. If, however, we declare dividends on our Class A ordinary shares, the depositary will pay you the cash dividends and other distributions it receives on our Class A ordinary shares, after deducting its fees and expenses in accordance with the terms set forth in the deposit agreement.</w:t>
      </w:r>
    </w:p>
    <w:p>
      <w:pPr>
        <w:spacing w:after="0" w:line="112" w:lineRule="exact"/>
        <w:rPr>
          <w:sz w:val="20"/>
          <w:szCs w:val="20"/>
          <w:color w:val="auto"/>
        </w:rPr>
      </w:pPr>
    </w:p>
    <w:p>
      <w:pPr>
        <w:jc w:val="both"/>
        <w:ind w:right="399"/>
        <w:spacing w:after="0" w:line="250" w:lineRule="auto"/>
        <w:rPr>
          <w:sz w:val="20"/>
          <w:szCs w:val="20"/>
          <w:color w:val="auto"/>
        </w:rPr>
      </w:pPr>
      <w:r>
        <w:rPr>
          <w:rFonts w:ascii="Times New Roman" w:cs="Times New Roman" w:eastAsia="Times New Roman" w:hAnsi="Times New Roman"/>
          <w:sz w:val="18"/>
          <w:szCs w:val="18"/>
          <w:color w:val="auto"/>
        </w:rPr>
        <w:t>You may turn in the ADSs to the depositary for cancellation and withdrawal of our Class A ordinary shares. The depositary will charge you fees for any cancellation.</w:t>
      </w:r>
    </w:p>
    <w:p>
      <w:pPr>
        <w:spacing w:after="0" w:line="109" w:lineRule="exact"/>
        <w:rPr>
          <w:sz w:val="20"/>
          <w:szCs w:val="20"/>
          <w:color w:val="auto"/>
        </w:rPr>
      </w:pPr>
    </w:p>
    <w:p>
      <w:pPr>
        <w:jc w:val="both"/>
        <w:ind w:right="399"/>
        <w:spacing w:after="0" w:line="250" w:lineRule="auto"/>
        <w:rPr>
          <w:sz w:val="20"/>
          <w:szCs w:val="20"/>
          <w:color w:val="auto"/>
        </w:rPr>
      </w:pPr>
      <w:r>
        <w:rPr>
          <w:rFonts w:ascii="Times New Roman" w:cs="Times New Roman" w:eastAsia="Times New Roman" w:hAnsi="Times New Roman"/>
          <w:sz w:val="18"/>
          <w:szCs w:val="18"/>
          <w:color w:val="auto"/>
        </w:rPr>
        <w:t>We may amend or terminate the deposit agreement without your consent. If you continue to hold the ADSs after an amendment to the deposit agreement, you agree to be bound by the deposit agreement as amended.</w:t>
      </w:r>
    </w:p>
    <w:p>
      <w:pPr>
        <w:spacing w:after="0" w:line="110" w:lineRule="exact"/>
        <w:rPr>
          <w:sz w:val="20"/>
          <w:szCs w:val="20"/>
          <w:color w:val="auto"/>
        </w:rPr>
      </w:pPr>
    </w:p>
    <w:p>
      <w:pPr>
        <w:jc w:val="both"/>
        <w:ind w:right="399"/>
        <w:spacing w:after="0" w:line="251" w:lineRule="auto"/>
        <w:rPr>
          <w:sz w:val="20"/>
          <w:szCs w:val="20"/>
          <w:color w:val="auto"/>
        </w:rPr>
      </w:pPr>
      <w:r>
        <w:rPr>
          <w:rFonts w:ascii="Times New Roman" w:cs="Times New Roman" w:eastAsia="Times New Roman" w:hAnsi="Times New Roman"/>
          <w:sz w:val="18"/>
          <w:szCs w:val="18"/>
          <w:color w:val="auto"/>
        </w:rPr>
        <w:t>To better understand the terms of the ADSs, you should carefully read the “Description of American Depositary Shares” section of this prospectus. You should also read the deposit agreement, which is filed as an exhibit to the registration statement that includes this prospectus.</w:t>
      </w:r>
    </w:p>
    <w:p>
      <w:pPr>
        <w:spacing w:after="0" w:line="282" w:lineRule="exact"/>
        <w:rPr>
          <w:sz w:val="20"/>
          <w:szCs w:val="20"/>
          <w:color w:val="auto"/>
        </w:rPr>
      </w:pPr>
    </w:p>
    <w:p>
      <w:pPr>
        <w:jc w:val="both"/>
        <w:ind w:right="399"/>
        <w:spacing w:after="0" w:line="263" w:lineRule="auto"/>
        <w:rPr>
          <w:sz w:val="20"/>
          <w:szCs w:val="20"/>
          <w:color w:val="auto"/>
        </w:rPr>
      </w:pPr>
      <w:r>
        <w:rPr>
          <w:rFonts w:ascii="Times New Roman" w:cs="Times New Roman" w:eastAsia="Times New Roman" w:hAnsi="Times New Roman"/>
          <w:sz w:val="18"/>
          <w:szCs w:val="18"/>
          <w:color w:val="auto"/>
        </w:rPr>
        <w:t>We will issue 14,683,991 Class A ordinary shares represented by the ADSs in this offering (or 16,886,589 Class A ordinary shares if the underwriters exercise their option to purchase additional ADSs in full).</w:t>
      </w:r>
    </w:p>
    <w:p>
      <w:pPr>
        <w:spacing w:after="0" w:line="332" w:lineRule="exact"/>
        <w:rPr>
          <w:sz w:val="20"/>
          <w:szCs w:val="20"/>
          <w:color w:val="auto"/>
        </w:rPr>
      </w:pPr>
    </w:p>
    <w:p>
      <w:pPr>
        <w:jc w:val="both"/>
        <w:ind w:right="399"/>
        <w:spacing w:after="0" w:line="242" w:lineRule="auto"/>
        <w:rPr>
          <w:sz w:val="20"/>
          <w:szCs w:val="20"/>
          <w:color w:val="auto"/>
        </w:rPr>
      </w:pPr>
      <w:r>
        <w:rPr>
          <w:rFonts w:ascii="Times New Roman" w:cs="Times New Roman" w:eastAsia="Times New Roman" w:hAnsi="Times New Roman"/>
          <w:sz w:val="18"/>
          <w:szCs w:val="18"/>
          <w:color w:val="auto"/>
        </w:rPr>
        <w:t>Our ordinary shares are divided into Class A ordinary shares and Class B ordinary shares. Holders of Class A ordinary shares and Class B ordinary shares have the same rights except for voting and conversion rights. Each Class A ordinary share is entitled to one vote and each Class B ordinary share is entitled to ten (10) votes. Each Class B ordinary share is convertible into one Class A ordinary share at any time by the holder thereof, while Class A ordinary shares are not convertible into Class B ordinary shares under any circumstances. Upon any sale, transfer, assignment or disposition of any Class B ordinary share by a holder thereof to any non-affiliate of such holder, each of such Class B ordinary share will be automatically and immediately converted into one Class A ordinary share.</w:t>
      </w:r>
    </w:p>
    <w:p>
      <w:pPr>
        <w:spacing w:after="0" w:line="330" w:lineRule="exact"/>
        <w:rPr>
          <w:sz w:val="20"/>
          <w:szCs w:val="20"/>
          <w:color w:val="auto"/>
        </w:rPr>
      </w:pPr>
    </w:p>
    <w:p>
      <w:pPr>
        <w:jc w:val="both"/>
        <w:ind w:right="399"/>
        <w:spacing w:after="0" w:line="250" w:lineRule="auto"/>
        <w:rPr>
          <w:sz w:val="20"/>
          <w:szCs w:val="20"/>
          <w:color w:val="auto"/>
        </w:rPr>
      </w:pPr>
      <w:r>
        <w:rPr>
          <w:rFonts w:ascii="Times New Roman" w:cs="Times New Roman" w:eastAsia="Times New Roman" w:hAnsi="Times New Roman"/>
          <w:sz w:val="18"/>
          <w:szCs w:val="18"/>
          <w:color w:val="auto"/>
        </w:rPr>
        <w:t>All options, regardless of grant dates, will entitle holders to the equivalent number of Class A ordinary shares once the vesting and exercising conditions on such share-based compensation awards are met.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“Description of Share Capital.”</w:t>
      </w:r>
    </w:p>
    <w:p>
      <w:pPr>
        <w:spacing w:after="0" w:line="200" w:lineRule="exact"/>
        <w:rPr>
          <w:sz w:val="20"/>
          <w:szCs w:val="20"/>
          <w:color w:val="auto"/>
        </w:rPr>
      </w:pPr>
    </w:p>
    <w:p>
      <w:pPr>
        <w:spacing w:after="0" w:line="349" w:lineRule="exact"/>
        <w:rPr>
          <w:sz w:val="20"/>
          <w:szCs w:val="20"/>
          <w:color w:val="auto"/>
        </w:rPr>
      </w:pPr>
    </w:p>
    <w:p>
      <w:pPr>
        <w:jc w:val="both"/>
        <w:ind w:right="399"/>
        <w:spacing w:after="0" w:line="275" w:lineRule="auto"/>
        <w:rPr>
          <w:sz w:val="20"/>
          <w:szCs w:val="20"/>
          <w:color w:val="auto"/>
        </w:rPr>
      </w:pPr>
      <w:r>
        <w:rPr>
          <w:rFonts w:ascii="Times New Roman" w:cs="Times New Roman" w:eastAsia="Times New Roman" w:hAnsi="Times New Roman"/>
          <w:sz w:val="18"/>
          <w:szCs w:val="18"/>
          <w:color w:val="auto"/>
        </w:rPr>
        <w:t>118,275,785 Class A ordinary shares, par value US$0.0001 per share (or 120,478,383 Class A ordinary shares if the underwriters exercise</w:t>
      </w:r>
    </w:p>
    <w:p>
      <w:pPr>
        <w:spacing w:after="0" w:line="200" w:lineRule="exact"/>
        <w:rPr>
          <w:sz w:val="20"/>
          <w:szCs w:val="20"/>
          <w:color w:val="auto"/>
        </w:rPr>
      </w:pPr>
    </w:p>
    <w:p>
      <w:pPr>
        <w:sectPr>
          <w:pgSz w:w="11900" w:h="16838" w:orient="portrait"/>
          <w:cols w:equalWidth="0" w:num="2">
            <w:col w:w="3720" w:space="580"/>
            <w:col w:w="5579"/>
          </w:cols>
          <w:pgMar w:left="580" w:top="97" w:right="1440" w:bottom="1440" w:gutter="0" w:footer="0" w:header="0"/>
          <w:type w:val="continuous"/>
        </w:sect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47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16245" cy="814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300" w:right="399"/>
        <w:spacing w:after="0" w:line="282" w:lineRule="auto"/>
        <w:rPr>
          <w:sz w:val="20"/>
          <w:szCs w:val="20"/>
          <w:color w:val="auto"/>
        </w:rPr>
      </w:pPr>
      <w:r>
        <w:rPr>
          <w:rFonts w:ascii="Times New Roman" w:cs="Times New Roman" w:eastAsia="Times New Roman" w:hAnsi="Times New Roman"/>
          <w:sz w:val="18"/>
          <w:szCs w:val="18"/>
          <w:color w:val="auto"/>
        </w:rPr>
        <w:t>their option to purchase additional ADSs in full) and 65,274,107 Class B ordinary shares, par value US$0.0001 per share.</w:t>
      </w:r>
    </w:p>
    <w:p>
      <w:pPr>
        <w:spacing w:after="0" w:line="54"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Over-allotment option</w:t>
      </w:r>
      <w:r>
        <w:rPr>
          <w:sz w:val="20"/>
          <w:szCs w:val="20"/>
          <w:color w:val="auto"/>
        </w:rPr>
        <w:tab/>
      </w:r>
      <w:r>
        <w:rPr>
          <w:rFonts w:ascii="Times New Roman" w:cs="Times New Roman" w:eastAsia="Times New Roman" w:hAnsi="Times New Roman"/>
          <w:sz w:val="18"/>
          <w:szCs w:val="18"/>
          <w:color w:val="auto"/>
        </w:rPr>
        <w:t>We have granted the underwriters the right to purchase up to an</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additional 2,202,598 Class A ordinary shares from us within 30 days</w:t>
      </w:r>
    </w:p>
    <w:p>
      <w:pPr>
        <w:spacing w:after="0" w:line="9"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color w:val="auto"/>
        </w:rPr>
        <w:t>of the date of this prospectus, to cover over-allotments, if any, in</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connection with the offering.</w:t>
      </w:r>
    </w:p>
    <w:p>
      <w:pPr>
        <w:spacing w:after="0" w:line="99"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Listing</w:t>
      </w:r>
      <w:r>
        <w:rPr>
          <w:sz w:val="20"/>
          <w:szCs w:val="20"/>
          <w:color w:val="auto"/>
        </w:rPr>
        <w:tab/>
      </w:r>
      <w:r>
        <w:rPr>
          <w:rFonts w:ascii="Times New Roman" w:cs="Times New Roman" w:eastAsia="Times New Roman" w:hAnsi="Times New Roman"/>
          <w:sz w:val="18"/>
          <w:szCs w:val="18"/>
          <w:color w:val="auto"/>
        </w:rPr>
        <w:t>We have been approved for listing the ADSs representing our</w:t>
      </w:r>
    </w:p>
    <w:p>
      <w:pPr>
        <w:spacing w:after="0" w:line="27" w:lineRule="exact"/>
        <w:rPr>
          <w:sz w:val="20"/>
          <w:szCs w:val="20"/>
          <w:color w:val="auto"/>
        </w:rPr>
      </w:pPr>
    </w:p>
    <w:p>
      <w:pPr>
        <w:ind w:left="4300" w:right="399"/>
        <w:spacing w:after="0" w:line="260" w:lineRule="auto"/>
        <w:rPr>
          <w:sz w:val="20"/>
          <w:szCs w:val="20"/>
          <w:color w:val="auto"/>
        </w:rPr>
      </w:pPr>
      <w:r>
        <w:rPr>
          <w:rFonts w:ascii="Times New Roman" w:cs="Times New Roman" w:eastAsia="Times New Roman" w:hAnsi="Times New Roman"/>
          <w:sz w:val="18"/>
          <w:szCs w:val="18"/>
          <w:color w:val="auto"/>
        </w:rPr>
        <w:t>Class A ordinary shares on the Nasdaq Global Select Market, or Nasdaq, under the symbol “CHA”.</w:t>
      </w:r>
    </w:p>
    <w:p>
      <w:pPr>
        <w:spacing w:after="0" w:line="73"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We expect to receive total estimated net proceeds from this offering</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of approximately US$375.6 million, or approximately US$433.0</w:t>
      </w:r>
    </w:p>
    <w:p>
      <w:pPr>
        <w:spacing w:after="0" w:line="9" w:lineRule="exact"/>
        <w:rPr>
          <w:sz w:val="20"/>
          <w:szCs w:val="20"/>
          <w:color w:val="auto"/>
        </w:rPr>
      </w:pPr>
    </w:p>
    <w:p>
      <w:pPr>
        <w:ind w:left="4300"/>
        <w:spacing w:after="0"/>
        <w:tabs>
          <w:tab w:leader="none" w:pos="4960" w:val="left"/>
          <w:tab w:leader="none" w:pos="5220" w:val="left"/>
          <w:tab w:leader="none" w:pos="5580" w:val="left"/>
          <w:tab w:leader="none" w:pos="6660" w:val="left"/>
          <w:tab w:leader="none" w:pos="7420" w:val="left"/>
          <w:tab w:leader="none" w:pos="7900" w:val="left"/>
          <w:tab w:leader="none" w:pos="8500" w:val="left"/>
          <w:tab w:leader="none" w:pos="8780" w:val="left"/>
        </w:tabs>
        <w:rPr>
          <w:sz w:val="20"/>
          <w:szCs w:val="20"/>
          <w:color w:val="auto"/>
        </w:rPr>
      </w:pPr>
      <w:r>
        <w:rPr>
          <w:rFonts w:ascii="Times New Roman" w:cs="Times New Roman" w:eastAsia="Times New Roman" w:hAnsi="Times New Roman"/>
          <w:sz w:val="18"/>
          <w:szCs w:val="18"/>
          <w:color w:val="auto"/>
        </w:rPr>
        <w:t>million</w:t>
        <w:tab/>
        <w:t>if</w:t>
        <w:tab/>
        <w:t>the</w:t>
        <w:tab/>
        <w:t>underwriters</w:t>
        <w:tab/>
        <w:t>exercise</w:t>
        <w:tab/>
        <w:t>their</w:t>
        <w:tab/>
        <w:t>option</w:t>
        <w:tab/>
        <w:t>to</w:t>
        <w:tab/>
        <w:t>purchase</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additional ADSs in full. We intend to use the net proceeds from the</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offering for (i) expanding the network of teahouses in China and</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overseas, (ii) brand building and marketing, (iii) investment in</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technology to support business development and operations, (iv)</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developing and innovating new products, (v) building overseas</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supply chain network, and (vi) for general corporate and working</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capital purposes. See “Use of Proceeds.”</w:t>
      </w:r>
    </w:p>
    <w:p>
      <w:pPr>
        <w:spacing w:after="0" w:line="99"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Lock-up</w:t>
      </w:r>
      <w:r>
        <w:rPr>
          <w:sz w:val="20"/>
          <w:szCs w:val="20"/>
          <w:color w:val="auto"/>
        </w:rPr>
        <w:tab/>
      </w:r>
      <w:r>
        <w:rPr>
          <w:rFonts w:ascii="Times New Roman" w:cs="Times New Roman" w:eastAsia="Times New Roman" w:hAnsi="Times New Roman"/>
          <w:sz w:val="18"/>
          <w:szCs w:val="18"/>
          <w:color w:val="auto"/>
        </w:rPr>
        <w:t>We, our directors, executive officers and existing shareholders have</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agreed with the underwriters, without the prior written consent of</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the representatives, not to offer, pledge, sell, or dispose of any</w:t>
      </w:r>
    </w:p>
    <w:p>
      <w:pPr>
        <w:spacing w:after="0" w:line="9" w:lineRule="exact"/>
        <w:rPr>
          <w:sz w:val="20"/>
          <w:szCs w:val="20"/>
          <w:color w:val="auto"/>
        </w:rPr>
      </w:pPr>
    </w:p>
    <w:p>
      <w:pPr>
        <w:ind w:left="4300"/>
        <w:spacing w:after="0"/>
        <w:tabs>
          <w:tab w:leader="none" w:pos="4880" w:val="left"/>
          <w:tab w:leader="none" w:pos="5180" w:val="left"/>
          <w:tab w:leader="none" w:pos="5560" w:val="left"/>
          <w:tab w:leader="none" w:pos="6100" w:val="left"/>
          <w:tab w:leader="none" w:pos="6740" w:val="left"/>
          <w:tab w:leader="none" w:pos="7040" w:val="left"/>
          <w:tab w:leader="none" w:pos="7880" w:val="left"/>
          <w:tab w:leader="none" w:pos="8860" w:val="left"/>
          <w:tab w:leader="none" w:pos="9300" w:val="left"/>
        </w:tabs>
        <w:rPr>
          <w:sz w:val="20"/>
          <w:szCs w:val="20"/>
          <w:color w:val="auto"/>
        </w:rPr>
      </w:pPr>
      <w:r>
        <w:rPr>
          <w:rFonts w:ascii="Times New Roman" w:cs="Times New Roman" w:eastAsia="Times New Roman" w:hAnsi="Times New Roman"/>
          <w:sz w:val="18"/>
          <w:szCs w:val="18"/>
          <w:color w:val="auto"/>
        </w:rPr>
        <w:t>shares</w:t>
        <w:tab/>
        <w:t>of</w:t>
        <w:tab/>
        <w:t>our</w:t>
        <w:tab/>
        <w:t>share</w:t>
        <w:tab/>
        <w:t>capital</w:t>
        <w:tab/>
        <w:t>or</w:t>
        <w:tab/>
        <w:t>securities</w:t>
        <w:tab/>
        <w:t>convertible</w:t>
        <w:tab/>
        <w:t>into</w:t>
        <w:tab/>
        <w:t>or</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exchangeable or exercisable for any shares of our share capital</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during the 180-day period following the date of this prospectus. See</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“Shares Eligible for Future Sale” and “Underwriting” for more</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information.</w:t>
      </w:r>
    </w:p>
    <w:p>
      <w:pPr>
        <w:spacing w:after="0" w:line="99"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Payment and settlement</w:t>
      </w:r>
      <w:r>
        <w:rPr>
          <w:sz w:val="20"/>
          <w:szCs w:val="20"/>
          <w:color w:val="auto"/>
        </w:rPr>
        <w:tab/>
      </w:r>
      <w:r>
        <w:rPr>
          <w:rFonts w:ascii="Times New Roman" w:cs="Times New Roman" w:eastAsia="Times New Roman" w:hAnsi="Times New Roman"/>
          <w:sz w:val="18"/>
          <w:szCs w:val="18"/>
          <w:color w:val="auto"/>
        </w:rPr>
        <w:t>The  underwriters  expect  to  deliver  the  ADSs  against  payment</w:t>
      </w:r>
    </w:p>
    <w:p>
      <w:pPr>
        <w:spacing w:after="0" w:line="27" w:lineRule="exact"/>
        <w:rPr>
          <w:sz w:val="20"/>
          <w:szCs w:val="20"/>
          <w:color w:val="auto"/>
        </w:rPr>
      </w:pPr>
    </w:p>
    <w:p>
      <w:pPr>
        <w:ind w:left="4300" w:right="399"/>
        <w:spacing w:after="0" w:line="260" w:lineRule="auto"/>
        <w:rPr>
          <w:sz w:val="20"/>
          <w:szCs w:val="20"/>
          <w:color w:val="auto"/>
        </w:rPr>
      </w:pPr>
      <w:r>
        <w:rPr>
          <w:rFonts w:ascii="Times New Roman" w:cs="Times New Roman" w:eastAsia="Times New Roman" w:hAnsi="Times New Roman"/>
          <w:sz w:val="18"/>
          <w:szCs w:val="18"/>
          <w:color w:val="auto"/>
        </w:rPr>
        <w:t>therefor through the facilities of The Depository Trust Company on April 21, 2025.</w:t>
      </w:r>
    </w:p>
    <w:p>
      <w:pPr>
        <w:spacing w:after="0" w:line="73"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color w:val="auto"/>
        </w:rPr>
        <w:t>Depositary</w:t>
      </w:r>
      <w:r>
        <w:rPr>
          <w:sz w:val="20"/>
          <w:szCs w:val="20"/>
          <w:color w:val="auto"/>
        </w:rPr>
        <w:tab/>
      </w:r>
      <w:r>
        <w:rPr>
          <w:rFonts w:ascii="Times New Roman" w:cs="Times New Roman" w:eastAsia="Times New Roman" w:hAnsi="Times New Roman"/>
          <w:sz w:val="18"/>
          <w:szCs w:val="18"/>
          <w:color w:val="auto"/>
        </w:rPr>
        <w:t>The Bank of New York Mellon.</w:t>
      </w:r>
    </w:p>
    <w:p>
      <w:pPr>
        <w:spacing w:after="0" w:line="117" w:lineRule="exact"/>
        <w:rPr>
          <w:sz w:val="20"/>
          <w:szCs w:val="20"/>
          <w:color w:val="auto"/>
        </w:rPr>
      </w:pPr>
    </w:p>
    <w:p>
      <w:pPr>
        <w:ind w:left="1280"/>
        <w:spacing w:after="0"/>
        <w:tabs>
          <w:tab w:leader="none" w:pos="4280" w:val="left"/>
          <w:tab w:leader="none" w:pos="4720" w:val="left"/>
          <w:tab w:leader="none" w:pos="5520" w:val="left"/>
          <w:tab w:leader="none" w:pos="6300" w:val="left"/>
          <w:tab w:leader="none" w:pos="6820" w:val="left"/>
          <w:tab w:leader="none" w:pos="7280" w:val="left"/>
          <w:tab w:leader="none" w:pos="7800" w:val="left"/>
          <w:tab w:leader="none" w:pos="8500" w:val="left"/>
          <w:tab w:leader="none" w:pos="9240" w:val="left"/>
        </w:tabs>
        <w:rPr>
          <w:sz w:val="20"/>
          <w:szCs w:val="20"/>
          <w:color w:val="auto"/>
        </w:rPr>
      </w:pPr>
      <w:r>
        <w:rPr>
          <w:rFonts w:ascii="Times New Roman" w:cs="Times New Roman" w:eastAsia="Times New Roman" w:hAnsi="Times New Roman"/>
          <w:sz w:val="18"/>
          <w:szCs w:val="18"/>
          <w:color w:val="auto"/>
        </w:rPr>
        <w:t>Taxation</w:t>
      </w:r>
      <w:r>
        <w:rPr>
          <w:sz w:val="20"/>
          <w:szCs w:val="20"/>
          <w:color w:val="auto"/>
        </w:rPr>
        <w:tab/>
      </w:r>
      <w:r>
        <w:rPr>
          <w:rFonts w:ascii="Times New Roman" w:cs="Times New Roman" w:eastAsia="Times New Roman" w:hAnsi="Times New Roman"/>
          <w:sz w:val="18"/>
          <w:szCs w:val="18"/>
          <w:color w:val="auto"/>
        </w:rPr>
        <w:t>For</w:t>
        <w:tab/>
        <w:t>Cayman</w:t>
        <w:tab/>
        <w:t>Islands,</w:t>
        <w:tab/>
        <w:t>PRC</w:t>
        <w:tab/>
        <w:t>and</w:t>
        <w:tab/>
        <w:t>U.S.</w:t>
        <w:tab/>
        <w:t>federal</w:t>
        <w:tab/>
        <w:t>income</w:t>
        <w:tab/>
        <w:t>tax</w:t>
      </w:r>
    </w:p>
    <w:p>
      <w:pPr>
        <w:spacing w:after="0" w:line="27" w:lineRule="exact"/>
        <w:rPr>
          <w:sz w:val="20"/>
          <w:szCs w:val="20"/>
          <w:color w:val="auto"/>
        </w:rPr>
      </w:pPr>
    </w:p>
    <w:p>
      <w:pPr>
        <w:ind w:left="4300" w:right="399"/>
        <w:spacing w:after="0" w:line="260" w:lineRule="auto"/>
        <w:rPr>
          <w:sz w:val="20"/>
          <w:szCs w:val="20"/>
          <w:color w:val="auto"/>
        </w:rPr>
      </w:pPr>
      <w:r>
        <w:rPr>
          <w:rFonts w:ascii="Times New Roman" w:cs="Times New Roman" w:eastAsia="Times New Roman" w:hAnsi="Times New Roman"/>
          <w:sz w:val="18"/>
          <w:szCs w:val="18"/>
          <w:color w:val="auto"/>
        </w:rPr>
        <w:t>considerations with respect to the ownership and disposition of the ADSs, see “Taxation.”</w:t>
      </w:r>
    </w:p>
    <w:p>
      <w:pPr>
        <w:spacing w:after="0" w:line="73" w:lineRule="exact"/>
        <w:rPr>
          <w:sz w:val="20"/>
          <w:szCs w:val="20"/>
          <w:color w:val="auto"/>
        </w:rPr>
      </w:pPr>
    </w:p>
    <w:p>
      <w:pPr>
        <w:ind w:left="1280"/>
        <w:spacing w:after="0"/>
        <w:tabs>
          <w:tab w:leader="none" w:pos="4280" w:val="left"/>
          <w:tab w:leader="none" w:pos="4700" w:val="left"/>
          <w:tab w:leader="none" w:pos="5280" w:val="left"/>
          <w:tab w:leader="none" w:pos="6080" w:val="left"/>
          <w:tab w:leader="none" w:pos="6500" w:val="left"/>
          <w:tab w:leader="none" w:pos="7040" w:val="left"/>
          <w:tab w:leader="none" w:pos="8080" w:val="left"/>
          <w:tab w:leader="none" w:pos="8880" w:val="left"/>
          <w:tab w:leader="none" w:pos="918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See</w:t>
        <w:tab/>
        <w:t>“Risk</w:t>
        <w:tab/>
        <w:t>Factors”</w:t>
        <w:tab/>
        <w:t>and</w:t>
        <w:tab/>
        <w:t>other</w:t>
        <w:tab/>
        <w:t>information</w:t>
        <w:tab/>
        <w:t>included</w:t>
        <w:tab/>
        <w:t>in</w:t>
        <w:tab/>
        <w:t>this</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prospectus for discussions of the risks relating to investing in the</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ADSs. You should carefully consider these risks before deciding to</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invest in the ADSs.</w:t>
      </w:r>
    </w:p>
    <w:p>
      <w:pPr>
        <w:spacing w:after="0" w:line="139"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Unless otherwise indicated, all information contained in this prospectus assumes no exercise of the option granted to the underwriters to purchase up to 2,202,598 additional Class A ordinary shares to cover over-allotments, if any, in connection with the offering.</w:t>
      </w:r>
    </w:p>
    <w:p>
      <w:pPr>
        <w:spacing w:after="0" w:line="108" w:lineRule="exact"/>
        <w:rPr>
          <w:sz w:val="20"/>
          <w:szCs w:val="20"/>
          <w:color w:val="auto"/>
        </w:rPr>
      </w:pPr>
    </w:p>
    <w:p>
      <w:pPr>
        <w:jc w:val="both"/>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the number of ordinary shares that will be issued and outstanding immediately after this offering:</w:t>
      </w:r>
    </w:p>
    <w:p>
      <w:pPr>
        <w:spacing w:after="0" w:line="8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number of ordinary shares that will be issued and outstanding immediately after this offering:</w:t>
      </w:r>
    </w:p>
    <w:p>
      <w:pPr>
        <w:spacing w:after="0" w:line="117" w:lineRule="exact"/>
        <w:rPr>
          <w:sz w:val="20"/>
          <w:szCs w:val="20"/>
          <w:color w:val="auto"/>
        </w:rPr>
      </w:pPr>
    </w:p>
    <w:p>
      <w:pPr>
        <w:ind w:left="1820" w:right="399" w:hanging="182"/>
        <w:spacing w:after="0" w:line="282"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upon 168,865,901 ordinary shares on an as-converted basis issued and outstanding as of the date of this prospectus;</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option to purchase additional ADSs representing Class A ordinary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820" w:right="399" w:hanging="182"/>
        <w:spacing w:after="0" w:line="266" w:lineRule="auto"/>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11,092,248 Class A ordinary shares issuable upon the exercise of 11,092,248 share options granted and are outstanding under our Public Company Share Incentive Plan as of the date of this prospectus; and</w:t>
      </w:r>
    </w:p>
    <w:p>
      <w:pPr>
        <w:spacing w:after="0" w:line="67" w:lineRule="exact"/>
        <w:rPr>
          <w:rFonts w:ascii="Times New Roman" w:cs="Times New Roman" w:eastAsia="Times New Roman" w:hAnsi="Times New Roman"/>
          <w:sz w:val="18"/>
          <w:szCs w:val="18"/>
          <w:color w:val="auto"/>
        </w:rPr>
      </w:pPr>
    </w:p>
    <w:p>
      <w:pPr>
        <w:jc w:val="both"/>
        <w:ind w:left="1820" w:right="399" w:hanging="182"/>
        <w:spacing w:after="0" w:line="275" w:lineRule="auto"/>
        <w:tabs>
          <w:tab w:leader="none" w:pos="1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16,969,101 additional Class A ordinary shares reserved for future issuances pursuant to equity awards to be granted under our Public Company Share Incentive Plan as of the date of this prospectus.</w:t>
      </w:r>
    </w:p>
    <w:p>
      <w:pPr>
        <w:spacing w:after="0" w:line="322" w:lineRule="exact"/>
        <w:rPr>
          <w:sz w:val="20"/>
          <w:szCs w:val="20"/>
          <w:color w:val="auto"/>
        </w:rPr>
      </w:pPr>
    </w:p>
    <w:p>
      <w:pPr>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See “Management — Equity Incentive Plan” for more information about the Public Company Share Incentive Plan.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791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16245" cy="807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OUR SUMMARY CONSOLIDATED FINANCIAL AND OPERATING DATA</w:t>
      </w:r>
    </w:p>
    <w:p>
      <w:pPr>
        <w:spacing w:after="0" w:line="162" w:lineRule="exact"/>
        <w:rPr>
          <w:sz w:val="20"/>
          <w:szCs w:val="20"/>
          <w:color w:val="auto"/>
        </w:rPr>
      </w:pPr>
    </w:p>
    <w:p>
      <w:pPr>
        <w:jc w:val="both"/>
        <w:ind w:left="1280" w:right="399" w:firstLine="360"/>
        <w:spacing w:after="0" w:line="259" w:lineRule="auto"/>
        <w:rPr>
          <w:sz w:val="20"/>
          <w:szCs w:val="20"/>
          <w:color w:val="auto"/>
        </w:rPr>
      </w:pPr>
      <w:r>
        <w:rPr>
          <w:rFonts w:ascii="Times New Roman" w:cs="Times New Roman" w:eastAsia="Times New Roman" w:hAnsi="Times New Roman"/>
          <w:sz w:val="18"/>
          <w:szCs w:val="18"/>
          <w:color w:val="auto"/>
        </w:rPr>
        <w:t>The following summary consolidated statements of operations data (other than U.S. dollar data) and summary consolidated cash flow data (other than U.S. dollar data) for the years ended December 31, 2022, 2023 and 2024 and summary consolidated balance sheet data (other than U.S. dollar data) as of December 31, 2023 and 2024 have been derived from our consolidated financial statements included elsewhere in this prospectus.</w:t>
      </w:r>
    </w:p>
    <w:p>
      <w:pPr>
        <w:spacing w:after="0" w:line="335" w:lineRule="exact"/>
        <w:rPr>
          <w:sz w:val="20"/>
          <w:szCs w:val="20"/>
          <w:color w:val="auto"/>
        </w:rPr>
      </w:pPr>
    </w:p>
    <w:p>
      <w:pPr>
        <w:jc w:val="both"/>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and Operating Data section together with our consolidated financial statements and the related notes and “Management’s Discussion and Analysis of Financial Condition and Results of Operations” included elsewhere in this prospectus.</w:t>
      </w:r>
    </w:p>
    <w:p>
      <w:pPr>
        <w:spacing w:after="0" w:line="106" w:lineRule="exact"/>
        <w:rPr>
          <w:sz w:val="20"/>
          <w:szCs w:val="20"/>
          <w:color w:val="auto"/>
        </w:rPr>
      </w:pPr>
    </w:p>
    <w:p>
      <w:pPr>
        <w:jc w:val="both"/>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statements of operations for the years presented.</w:t>
      </w:r>
    </w:p>
    <w:p>
      <w:pPr>
        <w:spacing w:after="0" w:line="376" w:lineRule="exact"/>
        <w:rPr>
          <w:sz w:val="20"/>
          <w:szCs w:val="20"/>
          <w:color w:val="auto"/>
        </w:rPr>
      </w:pPr>
    </w:p>
    <w:tbl>
      <w:tblPr>
        <w:tblLayout w:type="fixed"/>
        <w:tblInd w:w="1280" w:type="dxa"/>
        <w:tblCellMar>
          <w:top w:w="0" w:type="dxa"/>
          <w:left w:w="0" w:type="dxa"/>
          <w:bottom w:w="0" w:type="dxa"/>
          <w:right w:w="0" w:type="dxa"/>
        </w:tblCellMar>
      </w:tblPr>
      <w:tr>
        <w:trPr>
          <w:trHeight w:val="200"/>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3"/>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5"/>
                <w:szCs w:val="15"/>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5"/>
                <w:szCs w:val="15"/>
                <w:color w:val="auto"/>
              </w:rPr>
            </w:pPr>
          </w:p>
        </w:tc>
        <w:tc>
          <w:tcPr>
            <w:tcW w:w="760" w:type="dxa"/>
            <w:vAlign w:val="bottom"/>
            <w:gridSpan w:val="3"/>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83"/>
        </w:trPr>
        <w:tc>
          <w:tcPr>
            <w:tcW w:w="3840" w:type="dxa"/>
            <w:vAlign w:val="bottom"/>
            <w:vMerge w:val="continue"/>
          </w:tcPr>
          <w:p>
            <w:pPr>
              <w:spacing w:after="0"/>
              <w:rPr>
                <w:sz w:val="15"/>
                <w:szCs w:val="15"/>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RMB  ​​</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20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gridSpan w:val="12"/>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w w:val="98"/>
              </w:rPr>
              <w:t>(in thousands, except for percentages)</w:t>
            </w: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revenues from franchised teahouses</w:t>
            </w:r>
          </w:p>
        </w:tc>
        <w:tc>
          <w:tcPr>
            <w:tcW w:w="8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410,261​​​</w:t>
            </w:r>
            <w:r>
              <w:rPr>
                <w:rFonts w:ascii="Times New Roman" w:cs="Times New Roman" w:eastAsia="Times New Roman" w:hAnsi="Times New Roman"/>
                <w:sz w:val="15"/>
                <w:szCs w:val="15"/>
                <w:b w:val="1"/>
                <w:bCs w:val="1"/>
                <w:color w:val="auto"/>
              </w:rPr>
              <w:t>​</w:t>
            </w:r>
          </w:p>
        </w:tc>
        <w:tc>
          <w:tcPr>
            <w:tcW w:w="12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83.4​​​</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4,395,908​​​</w:t>
            </w:r>
            <w:r>
              <w:rPr>
                <w:rFonts w:ascii="Times New Roman" w:cs="Times New Roman" w:eastAsia="Times New Roman" w:hAnsi="Times New Roman"/>
                <w:sz w:val="15"/>
                <w:szCs w:val="15"/>
                <w:b w:val="1"/>
                <w:bCs w:val="1"/>
                <w:color w:val="auto"/>
              </w:rPr>
              <w:t>​</w:t>
            </w:r>
          </w:p>
        </w:tc>
        <w:tc>
          <w:tcPr>
            <w:tcW w:w="200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94.7​​​</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11,632,374​​​</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1,593,629​​​</w:t>
            </w:r>
            <w:r>
              <w:rPr>
                <w:rFonts w:ascii="Times New Roman" w:cs="Times New Roman" w:eastAsia="Times New Roman" w:hAnsi="Times New Roman"/>
                <w:sz w:val="15"/>
                <w:szCs w:val="15"/>
                <w:b w:val="1"/>
                <w:bCs w:val="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93.8​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20"/>
                <w:szCs w:val="20"/>
                <w:color w:val="auto"/>
              </w:rPr>
            </w:pPr>
            <w:r>
              <w:rPr>
                <w:rFonts w:ascii="Times New Roman" w:cs="Times New Roman" w:eastAsia="Times New Roman" w:hAnsi="Times New Roman"/>
                <w:sz w:val="15"/>
                <w:szCs w:val="15"/>
                <w:color w:val="auto"/>
              </w:rPr>
              <w:t>Net revenues from company-owned teahouses</w:t>
            </w:r>
          </w:p>
        </w:tc>
        <w:tc>
          <w:tcPr>
            <w:tcW w:w="82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81,392​​​​</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16.6​​​​</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244,263​​​​</w:t>
            </w:r>
          </w:p>
        </w:tc>
        <w:tc>
          <w:tcPr>
            <w:tcW w:w="1280" w:type="dxa"/>
            <w:vAlign w:val="bottom"/>
            <w:gridSpan w:val="6"/>
          </w:tcPr>
          <w:p>
            <w:pPr>
              <w:jc w:val="right"/>
              <w:ind w:right="4"/>
              <w:spacing w:after="0"/>
              <w:rPr>
                <w:sz w:val="20"/>
                <w:szCs w:val="20"/>
                <w:color w:val="auto"/>
              </w:rPr>
            </w:pPr>
            <w:r>
              <w:rPr>
                <w:rFonts w:ascii="Times New Roman" w:cs="Times New Roman" w:eastAsia="Times New Roman" w:hAnsi="Times New Roman"/>
                <w:sz w:val="15"/>
                <w:szCs w:val="15"/>
                <w:color w:val="auto"/>
              </w:rPr>
              <w:t>5.3​​​​  773,208​​​​</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105,929​​​​</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net revenues</w:t>
            </w: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40" w:type="dxa"/>
            <w:vAlign w:val="bottom"/>
            <w:vMerge w:val="continue"/>
            <w:shd w:val="clear" w:color="auto" w:fill="CCEEFF"/>
          </w:tcPr>
          <w:p>
            <w:pPr>
              <w:spacing w:after="0"/>
              <w:rPr>
                <w:sz w:val="14"/>
                <w:szCs w:val="14"/>
                <w:color w:val="auto"/>
              </w:rPr>
            </w:pPr>
          </w:p>
        </w:tc>
        <w:tc>
          <w:tcPr>
            <w:tcW w:w="4360" w:type="dxa"/>
            <w:vAlign w:val="bottom"/>
            <w:gridSpan w:val="21"/>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​​​491,653​​​​ 100.0​​​​ 4,640,171​​​​100.0​​​​12,405,582​​​​ 1,699,558​​​​100.0​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40" w:type="dxa"/>
            <w:vAlign w:val="bottom"/>
          </w:tcPr>
          <w:p>
            <w:pPr>
              <w:spacing w:after="0"/>
              <w:rPr>
                <w:sz w:val="20"/>
                <w:szCs w:val="20"/>
                <w:color w:val="auto"/>
              </w:rPr>
            </w:pPr>
            <w:r>
              <w:rPr>
                <w:rFonts w:ascii="Times New Roman" w:cs="Times New Roman" w:eastAsia="Times New Roman" w:hAnsi="Times New Roman"/>
                <w:sz w:val="15"/>
                <w:szCs w:val="15"/>
                <w:color w:val="auto"/>
              </w:rPr>
              <w:t>Cost of materials</w:t>
            </w:r>
          </w:p>
        </w:tc>
        <w:tc>
          <w:tcPr>
            <w:tcW w:w="82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(291,230​​​)</w:t>
            </w:r>
            <w:r>
              <w:rPr>
                <w:rFonts w:ascii="Times New Roman" w:cs="Times New Roman" w:eastAsia="Times New Roman" w:hAnsi="Times New Roman"/>
                <w:sz w:val="15"/>
                <w:szCs w:val="15"/>
                <w:b w:val="1"/>
                <w:bCs w:val="1"/>
                <w:color w:val="auto"/>
              </w:rPr>
              <w:t>​</w:t>
            </w:r>
          </w:p>
        </w:tc>
        <w:tc>
          <w:tcPr>
            <w:tcW w:w="2540" w:type="dxa"/>
            <w:vAlign w:val="bottom"/>
            <w:gridSpan w:val="12"/>
          </w:tcPr>
          <w:p>
            <w:pPr>
              <w:jc w:val="right"/>
              <w:ind w:right="4"/>
              <w:spacing w:after="0"/>
              <w:rPr>
                <w:sz w:val="20"/>
                <w:szCs w:val="20"/>
                <w:color w:val="auto"/>
              </w:rPr>
            </w:pPr>
            <w:r>
              <w:rPr>
                <w:rFonts w:ascii="Times New Roman" w:cs="Times New Roman" w:eastAsia="Times New Roman" w:hAnsi="Times New Roman"/>
                <w:sz w:val="15"/>
                <w:szCs w:val="15"/>
                <w:color w:val="auto"/>
              </w:rPr>
              <w:t>(59.2​​​)</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(2,462,387​​​)</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(53.1​​​)</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(6,012,922​​​)</w:t>
            </w:r>
            <w:r>
              <w:rPr>
                <w:rFonts w:ascii="Times New Roman" w:cs="Times New Roman" w:eastAsia="Times New Roman" w:hAnsi="Times New Roman"/>
                <w:sz w:val="15"/>
                <w:szCs w:val="15"/>
                <w:b w:val="1"/>
                <w:bCs w:val="1"/>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(823,767​​​)</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(48.4​)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Company-owned teahouse operating costs</w:t>
            </w:r>
          </w:p>
        </w:tc>
        <w:tc>
          <w:tcPr>
            <w:tcW w:w="8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(54,901​​​)</w:t>
            </w:r>
            <w:r>
              <w:rPr>
                <w:rFonts w:ascii="Times New Roman" w:cs="Times New Roman" w:eastAsia="Times New Roman" w:hAnsi="Times New Roman"/>
                <w:sz w:val="15"/>
                <w:szCs w:val="15"/>
                <w:b w:val="1"/>
                <w:bCs w:val="1"/>
                <w:color w:val="auto"/>
              </w:rPr>
              <w:t>​</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(11.2​​​)</w:t>
            </w:r>
            <w:r>
              <w:rPr>
                <w:rFonts w:ascii="Times New Roman" w:cs="Times New Roman" w:eastAsia="Times New Roman" w:hAnsi="Times New Roman"/>
                <w:sz w:val="15"/>
                <w:szCs w:val="15"/>
                <w:b w:val="1"/>
                <w:bCs w:val="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(106,379​​​)</w:t>
            </w:r>
            <w:r>
              <w:rPr>
                <w:rFonts w:ascii="Times New Roman" w:cs="Times New Roman" w:eastAsia="Times New Roman" w:hAnsi="Times New Roman"/>
                <w:sz w:val="15"/>
                <w:szCs w:val="15"/>
                <w:b w:val="1"/>
                <w:bCs w:val="1"/>
                <w:color w:val="auto"/>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r>
              <w:rPr>
                <w:rFonts w:ascii="Times New Roman" w:cs="Times New Roman" w:eastAsia="Times New Roman" w:hAnsi="Times New Roman"/>
                <w:sz w:val="15"/>
                <w:szCs w:val="15"/>
                <w:b w:val="1"/>
                <w:bCs w:val="1"/>
                <w:color w:val="auto"/>
              </w:rPr>
              <w:t>​</w:t>
            </w:r>
          </w:p>
        </w:tc>
        <w:tc>
          <w:tcPr>
            <w:tcW w:w="80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(467,320​​​)</w:t>
            </w:r>
            <w:r>
              <w:rPr>
                <w:rFonts w:ascii="Times New Roman" w:cs="Times New Roman" w:eastAsia="Times New Roman" w:hAnsi="Times New Roman"/>
                <w:sz w:val="15"/>
                <w:szCs w:val="15"/>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(64,023​​​)</w:t>
            </w:r>
            <w:r>
              <w:rPr>
                <w:rFonts w:ascii="Times New Roman" w:cs="Times New Roman" w:eastAsia="Times New Roman" w:hAnsi="Times New Roman"/>
                <w:sz w:val="15"/>
                <w:szCs w:val="15"/>
                <w:b w:val="1"/>
                <w:bCs w:val="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0"/>
              </w:rPr>
              <w:t>(3.8​)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tcPr>
          <w:p>
            <w:pPr>
              <w:spacing w:after="0"/>
              <w:rPr>
                <w:sz w:val="20"/>
                <w:szCs w:val="20"/>
                <w:color w:val="auto"/>
              </w:rPr>
            </w:pPr>
            <w:r>
              <w:rPr>
                <w:rFonts w:ascii="Times New Roman" w:cs="Times New Roman" w:eastAsia="Times New Roman" w:hAnsi="Times New Roman"/>
                <w:sz w:val="15"/>
                <w:szCs w:val="15"/>
                <w:color w:val="auto"/>
              </w:rPr>
              <w:t>Storage and logistics costs</w:t>
            </w:r>
          </w:p>
        </w:tc>
        <w:tc>
          <w:tcPr>
            <w:tcW w:w="82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(12,453​​​)</w:t>
            </w:r>
            <w:r>
              <w:rPr>
                <w:rFonts w:ascii="Times New Roman" w:cs="Times New Roman" w:eastAsia="Times New Roman" w:hAnsi="Times New Roman"/>
                <w:sz w:val="15"/>
                <w:szCs w:val="15"/>
                <w:b w:val="1"/>
                <w:bCs w:val="1"/>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(2.5​​​)</w:t>
            </w:r>
            <w:r>
              <w:rPr>
                <w:rFonts w:ascii="Times New Roman" w:cs="Times New Roman" w:eastAsia="Times New Roman" w:hAnsi="Times New Roman"/>
                <w:sz w:val="15"/>
                <w:szCs w:val="15"/>
                <w:b w:val="1"/>
                <w:bCs w:val="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(99,867​​​)</w:t>
            </w:r>
            <w:r>
              <w:rPr>
                <w:rFonts w:ascii="Times New Roman" w:cs="Times New Roman" w:eastAsia="Times New Roman" w:hAnsi="Times New Roman"/>
                <w:sz w:val="15"/>
                <w:szCs w:val="15"/>
                <w:b w:val="1"/>
                <w:bCs w:val="1"/>
                <w:color w:val="auto"/>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(2.2​​​)</w:t>
            </w:r>
            <w:r>
              <w:rPr>
                <w:rFonts w:ascii="Times New Roman" w:cs="Times New Roman" w:eastAsia="Times New Roman" w:hAnsi="Times New Roman"/>
                <w:sz w:val="15"/>
                <w:szCs w:val="15"/>
                <w:b w:val="1"/>
                <w:bCs w:val="1"/>
                <w:color w:val="auto"/>
              </w:rPr>
              <w:t>​</w:t>
            </w:r>
          </w:p>
        </w:tc>
        <w:tc>
          <w:tcPr>
            <w:tcW w:w="800" w:type="dxa"/>
            <w:vAlign w:val="bottom"/>
            <w:gridSpan w:val="3"/>
          </w:tcPr>
          <w:p>
            <w:pPr>
              <w:jc w:val="right"/>
              <w:ind w:right="4"/>
              <w:spacing w:after="0"/>
              <w:rPr>
                <w:sz w:val="20"/>
                <w:szCs w:val="20"/>
                <w:color w:val="auto"/>
              </w:rPr>
            </w:pPr>
            <w:r>
              <w:rPr>
                <w:rFonts w:ascii="Times New Roman" w:cs="Times New Roman" w:eastAsia="Times New Roman" w:hAnsi="Times New Roman"/>
                <w:sz w:val="15"/>
                <w:szCs w:val="15"/>
                <w:color w:val="auto"/>
              </w:rPr>
              <w:t>(243,822​​​)</w:t>
            </w:r>
            <w:r>
              <w:rPr>
                <w:rFonts w:ascii="Times New Roman" w:cs="Times New Roman" w:eastAsia="Times New Roman" w:hAnsi="Times New Roman"/>
                <w:sz w:val="15"/>
                <w:szCs w:val="15"/>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(33,403​​​)</w:t>
            </w:r>
            <w:r>
              <w:rPr>
                <w:rFonts w:ascii="Times New Roman" w:cs="Times New Roman" w:eastAsia="Times New Roman" w:hAnsi="Times New Roman"/>
                <w:sz w:val="15"/>
                <w:szCs w:val="15"/>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0"/>
              </w:rPr>
              <w:t>(2.0​)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operating costs</w:t>
            </w:r>
          </w:p>
        </w:tc>
        <w:tc>
          <w:tcPr>
            <w:tcW w:w="8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(75,775​​​)</w:t>
            </w:r>
            <w:r>
              <w:rPr>
                <w:rFonts w:ascii="Times New Roman" w:cs="Times New Roman" w:eastAsia="Times New Roman" w:hAnsi="Times New Roman"/>
                <w:sz w:val="15"/>
                <w:szCs w:val="15"/>
                <w:b w:val="1"/>
                <w:bCs w:val="1"/>
                <w:color w:val="auto"/>
              </w:rPr>
              <w:t>​</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(15.4​​​)</w:t>
            </w:r>
            <w:r>
              <w:rPr>
                <w:rFonts w:ascii="Times New Roman" w:cs="Times New Roman" w:eastAsia="Times New Roman" w:hAnsi="Times New Roman"/>
                <w:sz w:val="15"/>
                <w:szCs w:val="15"/>
                <w:b w:val="1"/>
                <w:bCs w:val="1"/>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(272,773​​​)</w:t>
            </w:r>
            <w:r>
              <w:rPr>
                <w:rFonts w:ascii="Times New Roman" w:cs="Times New Roman" w:eastAsia="Times New Roman" w:hAnsi="Times New Roman"/>
                <w:sz w:val="15"/>
                <w:szCs w:val="15"/>
                <w:b w:val="1"/>
                <w:bCs w:val="1"/>
                <w:color w:val="auto"/>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r>
              <w:rPr>
                <w:rFonts w:ascii="Times New Roman" w:cs="Times New Roman" w:eastAsia="Times New Roman" w:hAnsi="Times New Roman"/>
                <w:sz w:val="15"/>
                <w:szCs w:val="15"/>
                <w:b w:val="1"/>
                <w:bCs w:val="1"/>
                <w:color w:val="auto"/>
              </w:rPr>
              <w:t>​</w:t>
            </w:r>
          </w:p>
        </w:tc>
        <w:tc>
          <w:tcPr>
            <w:tcW w:w="80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(572,621​​​)</w:t>
            </w:r>
            <w:r>
              <w:rPr>
                <w:rFonts w:ascii="Times New Roman" w:cs="Times New Roman" w:eastAsia="Times New Roman" w:hAnsi="Times New Roman"/>
                <w:sz w:val="15"/>
                <w:szCs w:val="15"/>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(78,449​​​)</w:t>
            </w:r>
            <w:r>
              <w:rPr>
                <w:rFonts w:ascii="Times New Roman" w:cs="Times New Roman" w:eastAsia="Times New Roman" w:hAnsi="Times New Roman"/>
                <w:sz w:val="15"/>
                <w:szCs w:val="15"/>
                <w:b w:val="1"/>
                <w:bCs w:val="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0"/>
              </w:rPr>
              <w:t>(4.6​)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40" w:type="dxa"/>
            <w:vAlign w:val="bottom"/>
          </w:tcPr>
          <w:p>
            <w:pPr>
              <w:spacing w:after="0"/>
              <w:rPr>
                <w:sz w:val="20"/>
                <w:szCs w:val="20"/>
                <w:color w:val="auto"/>
              </w:rPr>
            </w:pPr>
            <w:r>
              <w:rPr>
                <w:rFonts w:ascii="Times New Roman" w:cs="Times New Roman" w:eastAsia="Times New Roman" w:hAnsi="Times New Roman"/>
                <w:sz w:val="15"/>
                <w:szCs w:val="15"/>
                <w:color w:val="auto"/>
              </w:rPr>
              <w:t>Sales and marketing expenses</w:t>
            </w:r>
          </w:p>
        </w:tc>
        <w:tc>
          <w:tcPr>
            <w:tcW w:w="82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(73,605​​​)</w:t>
            </w:r>
            <w:r>
              <w:rPr>
                <w:rFonts w:ascii="Times New Roman" w:cs="Times New Roman" w:eastAsia="Times New Roman" w:hAnsi="Times New Roman"/>
                <w:sz w:val="15"/>
                <w:szCs w:val="15"/>
                <w:b w:val="1"/>
                <w:bCs w:val="1"/>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(15.0​​​)</w:t>
            </w:r>
            <w:r>
              <w:rPr>
                <w:rFonts w:ascii="Times New Roman" w:cs="Times New Roman" w:eastAsia="Times New Roman" w:hAnsi="Times New Roman"/>
                <w:sz w:val="15"/>
                <w:szCs w:val="15"/>
                <w:b w:val="1"/>
                <w:bCs w:val="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(261,563​​​)</w:t>
            </w:r>
            <w:r>
              <w:rPr>
                <w:rFonts w:ascii="Times New Roman" w:cs="Times New Roman" w:eastAsia="Times New Roman" w:hAnsi="Times New Roman"/>
                <w:sz w:val="15"/>
                <w:szCs w:val="15"/>
                <w:b w:val="1"/>
                <w:bCs w:val="1"/>
                <w:color w:val="auto"/>
              </w:rPr>
              <w:t>​</w:t>
            </w:r>
          </w:p>
        </w:tc>
        <w:tc>
          <w:tcPr>
            <w:tcW w:w="1280" w:type="dxa"/>
            <w:vAlign w:val="bottom"/>
            <w:gridSpan w:val="6"/>
          </w:tcPr>
          <w:p>
            <w:pPr>
              <w:jc w:val="right"/>
              <w:ind w:right="4"/>
              <w:spacing w:after="0"/>
              <w:rPr>
                <w:sz w:val="20"/>
                <w:szCs w:val="20"/>
                <w:color w:val="auto"/>
              </w:rPr>
            </w:pPr>
            <w:r>
              <w:rPr>
                <w:rFonts w:ascii="Times New Roman" w:cs="Times New Roman" w:eastAsia="Times New Roman" w:hAnsi="Times New Roman"/>
                <w:sz w:val="15"/>
                <w:szCs w:val="15"/>
                <w:color w:val="auto"/>
              </w:rPr>
              <w:t>(5.6​​​)</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(1,108,911​​​)</w:t>
            </w:r>
            <w:r>
              <w:rPr>
                <w:rFonts w:ascii="Times New Roman" w:cs="Times New Roman" w:eastAsia="Times New Roman" w:hAnsi="Times New Roman"/>
                <w:sz w:val="15"/>
                <w:szCs w:val="15"/>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(151,920​​​)</w:t>
            </w:r>
            <w:r>
              <w:rPr>
                <w:rFonts w:ascii="Times New Roman" w:cs="Times New Roman" w:eastAsia="Times New Roman" w:hAnsi="Times New Roman"/>
                <w:sz w:val="15"/>
                <w:szCs w:val="15"/>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0"/>
              </w:rPr>
              <w:t>(8.9​)</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8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(99,530​​​)​</w:t>
            </w:r>
          </w:p>
        </w:tc>
        <w:tc>
          <w:tcPr>
            <w:tcW w:w="12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 (363,099​​​)​</w:t>
            </w:r>
          </w:p>
        </w:tc>
        <w:tc>
          <w:tcPr>
            <w:tcW w:w="1280" w:type="dxa"/>
            <w:vAlign w:val="bottom"/>
            <w:gridSpan w:val="6"/>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(7.8​​​)​(1,113,387​​​)​</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(152,533​​​)​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4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Total operating expenses</w:t>
            </w:r>
          </w:p>
        </w:tc>
        <w:tc>
          <w:tcPr>
            <w:tcW w:w="2020" w:type="dxa"/>
            <w:vAlign w:val="bottom"/>
            <w:gridSpan w:val="10"/>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​​​(607,494​​​​(123).6​​​​(3,566,068​​​​(76))</w:t>
            </w:r>
          </w:p>
        </w:tc>
        <w:tc>
          <w:tcPr>
            <w:tcW w:w="60" w:type="dxa"/>
            <w:vAlign w:val="bottom"/>
          </w:tcPr>
          <w:p>
            <w:pPr>
              <w:spacing w:after="0"/>
              <w:rPr>
                <w:sz w:val="14"/>
                <w:szCs w:val="14"/>
                <w:color w:val="auto"/>
              </w:rPr>
            </w:pPr>
          </w:p>
        </w:tc>
        <w:tc>
          <w:tcPr>
            <w:tcW w:w="1840" w:type="dxa"/>
            <w:vAlign w:val="bottom"/>
            <w:gridSpan w:val="7"/>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.9​​​​(9,518,983​​​​(1,304,095​​​​(76))</w:t>
            </w:r>
          </w:p>
        </w:tc>
        <w:tc>
          <w:tcPr>
            <w:tcW w:w="1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60" w:type="dxa"/>
            <w:vAlign w:val="bottom"/>
          </w:tcPr>
          <w:p>
            <w:pPr>
              <w:spacing w:after="0"/>
              <w:rPr>
                <w:sz w:val="14"/>
                <w:szCs w:val="14"/>
                <w:color w:val="auto"/>
              </w:rPr>
            </w:pPr>
          </w:p>
        </w:tc>
        <w:tc>
          <w:tcPr>
            <w:tcW w:w="3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.7​)</w:t>
            </w: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(Loss)/income from operations</w:t>
            </w:r>
          </w:p>
        </w:tc>
        <w:tc>
          <w:tcPr>
            <w:tcW w:w="3360" w:type="dxa"/>
            <w:vAlign w:val="bottom"/>
            <w:gridSpan w:val="17"/>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​​​(115,841​​​​) (23.6​​​​) 1,074,103​​​​ 23.1​​​​ 2,886,599​​​​</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395,463​​​​ 23.3​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40" w:type="dxa"/>
            <w:vAlign w:val="bottom"/>
          </w:tcPr>
          <w:p>
            <w:pPr>
              <w:spacing w:after="0"/>
              <w:rPr>
                <w:sz w:val="20"/>
                <w:szCs w:val="20"/>
                <w:color w:val="auto"/>
              </w:rPr>
            </w:pPr>
            <w:r>
              <w:rPr>
                <w:rFonts w:ascii="Times New Roman" w:cs="Times New Roman" w:eastAsia="Times New Roman" w:hAnsi="Times New Roman"/>
                <w:sz w:val="15"/>
                <w:szCs w:val="15"/>
                <w:color w:val="auto"/>
              </w:rPr>
              <w:t>Fair value change of forward contract related to Series B+</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8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preferred shares</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(105,483​​​)</w:t>
            </w:r>
            <w:r>
              <w:rPr>
                <w:rFonts w:ascii="Times New Roman" w:cs="Times New Roman" w:eastAsia="Times New Roman" w:hAnsi="Times New Roman"/>
                <w:sz w:val="15"/>
                <w:szCs w:val="15"/>
                <w:b w:val="1"/>
                <w:bCs w:val="1"/>
                <w:color w:val="auto"/>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(2.2​​​)</w:t>
            </w:r>
            <w:r>
              <w:rPr>
                <w:rFonts w:ascii="Times New Roman" w:cs="Times New Roman" w:eastAsia="Times New Roman" w:hAnsi="Times New Roman"/>
                <w:sz w:val="15"/>
                <w:szCs w:val="15"/>
                <w:b w:val="1"/>
                <w:bCs w:val="1"/>
                <w:color w:val="auto"/>
              </w:rPr>
              <w:t>​</w:t>
            </w:r>
          </w:p>
        </w:tc>
        <w:tc>
          <w:tcPr>
            <w:tcW w:w="800" w:type="dxa"/>
            <w:vAlign w:val="bottom"/>
            <w:gridSpan w:val="3"/>
          </w:tcPr>
          <w:p>
            <w:pPr>
              <w:jc w:val="right"/>
              <w:ind w:right="4"/>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7"/>
        </w:trPr>
        <w:tc>
          <w:tcPr>
            <w:tcW w:w="3840" w:type="dxa"/>
            <w:vAlign w:val="bottom"/>
          </w:tcPr>
          <w:p>
            <w:pPr>
              <w:spacing w:after="0"/>
              <w:rPr>
                <w:sz w:val="20"/>
                <w:szCs w:val="20"/>
                <w:color w:val="auto"/>
              </w:rPr>
            </w:pPr>
            <w:r>
              <w:rPr>
                <w:rFonts w:ascii="Times New Roman" w:cs="Times New Roman" w:eastAsia="Times New Roman" w:hAnsi="Times New Roman"/>
                <w:sz w:val="15"/>
                <w:szCs w:val="15"/>
                <w:color w:val="auto"/>
              </w:rPr>
              <w:t>Financial income, net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1,915​​​</w:t>
            </w:r>
            <w:r>
              <w:rPr>
                <w:rFonts w:ascii="Times New Roman" w:cs="Times New Roman" w:eastAsia="Times New Roman" w:hAnsi="Times New Roman"/>
                <w:sz w:val="15"/>
                <w:szCs w:val="15"/>
                <w:b w:val="1"/>
                <w:bCs w:val="1"/>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0.4​​​</w:t>
            </w:r>
            <w:r>
              <w:rPr>
                <w:rFonts w:ascii="Times New Roman" w:cs="Times New Roman" w:eastAsia="Times New Roman" w:hAnsi="Times New Roman"/>
                <w:sz w:val="15"/>
                <w:szCs w:val="15"/>
                <w:b w:val="1"/>
                <w:bCs w:val="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17,016​​​</w:t>
            </w:r>
            <w:r>
              <w:rPr>
                <w:rFonts w:ascii="Times New Roman" w:cs="Times New Roman" w:eastAsia="Times New Roman" w:hAnsi="Times New Roman"/>
                <w:sz w:val="15"/>
                <w:szCs w:val="15"/>
                <w:b w:val="1"/>
                <w:bCs w:val="1"/>
                <w:color w:val="auto"/>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0.4​​​</w:t>
            </w:r>
            <w:r>
              <w:rPr>
                <w:rFonts w:ascii="Times New Roman" w:cs="Times New Roman" w:eastAsia="Times New Roman" w:hAnsi="Times New Roman"/>
                <w:sz w:val="15"/>
                <w:szCs w:val="15"/>
                <w:b w:val="1"/>
                <w:bCs w:val="1"/>
                <w:color w:val="auto"/>
              </w:rPr>
              <w:t>​</w:t>
            </w:r>
          </w:p>
        </w:tc>
        <w:tc>
          <w:tcPr>
            <w:tcW w:w="800" w:type="dxa"/>
            <w:vAlign w:val="bottom"/>
            <w:gridSpan w:val="3"/>
          </w:tcPr>
          <w:p>
            <w:pPr>
              <w:jc w:val="right"/>
              <w:ind w:right="4"/>
              <w:spacing w:after="0"/>
              <w:rPr>
                <w:sz w:val="20"/>
                <w:szCs w:val="20"/>
                <w:color w:val="auto"/>
              </w:rPr>
            </w:pPr>
            <w:r>
              <w:rPr>
                <w:rFonts w:ascii="Times New Roman" w:cs="Times New Roman" w:eastAsia="Times New Roman" w:hAnsi="Times New Roman"/>
                <w:sz w:val="15"/>
                <w:szCs w:val="15"/>
                <w:color w:val="auto"/>
              </w:rPr>
              <w:t>37,306​​​</w:t>
            </w:r>
            <w:r>
              <w:rPr>
                <w:rFonts w:ascii="Times New Roman" w:cs="Times New Roman" w:eastAsia="Times New Roman" w:hAnsi="Times New Roman"/>
                <w:sz w:val="15"/>
                <w:szCs w:val="15"/>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5,111​​​</w:t>
            </w:r>
            <w:r>
              <w:rPr>
                <w:rFonts w:ascii="Times New Roman" w:cs="Times New Roman" w:eastAsia="Times New Roman" w:hAnsi="Times New Roman"/>
                <w:sz w:val="15"/>
                <w:szCs w:val="15"/>
                <w:b w:val="1"/>
                <w:bCs w:val="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203"/>
        </w:trPr>
        <w:tc>
          <w:tcPr>
            <w:tcW w:w="3840" w:type="dxa"/>
            <w:vAlign w:val="bottom"/>
          </w:tcPr>
          <w:p>
            <w:pPr>
              <w:spacing w:after="0"/>
              <w:rPr>
                <w:sz w:val="20"/>
                <w:szCs w:val="20"/>
                <w:color w:val="auto"/>
              </w:rPr>
            </w:pPr>
            <w:r>
              <w:rPr>
                <w:rFonts w:ascii="Times New Roman" w:cs="Times New Roman" w:eastAsia="Times New Roman" w:hAnsi="Times New Roman"/>
                <w:sz w:val="15"/>
                <w:szCs w:val="15"/>
                <w:color w:val="auto"/>
              </w:rPr>
              <w:t>Others, net</w:t>
            </w:r>
          </w:p>
        </w:tc>
        <w:tc>
          <w:tcPr>
            <w:tcW w:w="82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auto"/>
              </w:rPr>
              <w:t>​​​  1,546​​​​</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0.</w:t>
            </w:r>
            <w:r>
              <w:rPr>
                <w:rFonts w:ascii="Times New Roman" w:cs="Times New Roman" w:eastAsia="Times New Roman" w:hAnsi="Times New Roman"/>
                <w:sz w:val="15"/>
                <w:szCs w:val="15"/>
                <w:u w:val="single" w:color="auto"/>
                <w:color w:val="auto"/>
              </w:rPr>
              <w:t>3</w:t>
            </w:r>
            <w:r>
              <w:rPr>
                <w:rFonts w:ascii="Times New Roman" w:cs="Times New Roman" w:eastAsia="Times New Roman" w:hAnsi="Times New Roman"/>
                <w:sz w:val="15"/>
                <w:szCs w:val="15"/>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20,691​​​​</w:t>
            </w:r>
          </w:p>
        </w:tc>
        <w:tc>
          <w:tcPr>
            <w:tcW w:w="1280" w:type="dxa"/>
            <w:vAlign w:val="bottom"/>
            <w:gridSpan w:val="6"/>
          </w:tcPr>
          <w:p>
            <w:pPr>
              <w:jc w:val="right"/>
              <w:ind w:right="4"/>
              <w:spacing w:after="0"/>
              <w:rPr>
                <w:sz w:val="20"/>
                <w:szCs w:val="20"/>
                <w:color w:val="auto"/>
              </w:rPr>
            </w:pPr>
            <w:r>
              <w:rPr>
                <w:rFonts w:ascii="Times New Roman" w:cs="Times New Roman" w:eastAsia="Times New Roman" w:hAnsi="Times New Roman"/>
                <w:sz w:val="15"/>
                <w:szCs w:val="15"/>
                <w:color w:val="auto"/>
              </w:rPr>
              <w:t>0.4​​​​  118,193​​​​</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16,192​​​​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(Loss)/income before income tax</w:t>
            </w:r>
          </w:p>
        </w:tc>
        <w:tc>
          <w:tcPr>
            <w:tcW w:w="8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​​​(112,380​​​​)</w:t>
            </w:r>
          </w:p>
        </w:tc>
        <w:tc>
          <w:tcPr>
            <w:tcW w:w="12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(22.9​​​​) 1,006,327​​​​</w:t>
            </w:r>
          </w:p>
        </w:tc>
        <w:tc>
          <w:tcPr>
            <w:tcW w:w="1280" w:type="dxa"/>
            <w:vAlign w:val="bottom"/>
            <w:gridSpan w:val="6"/>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21.7​​​​ 3,042,098​​​​</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416,766​​​​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24.6​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20"/>
                <w:szCs w:val="20"/>
                <w:color w:val="auto"/>
              </w:rPr>
            </w:pPr>
            <w:r>
              <w:rPr>
                <w:rFonts w:ascii="Times New Roman" w:cs="Times New Roman" w:eastAsia="Times New Roman" w:hAnsi="Times New Roman"/>
                <w:sz w:val="15"/>
                <w:szCs w:val="15"/>
                <w:color w:val="auto"/>
              </w:rPr>
              <w:t>Income tax benefit/(expense)</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21,664​​​​</w:t>
            </w:r>
          </w:p>
        </w:tc>
        <w:tc>
          <w:tcPr>
            <w:tcW w:w="1260" w:type="dxa"/>
            <w:vAlign w:val="bottom"/>
            <w:gridSpan w:val="6"/>
          </w:tcPr>
          <w:p>
            <w:pPr>
              <w:jc w:val="right"/>
              <w:spacing w:after="0"/>
              <w:rPr>
                <w:sz w:val="20"/>
                <w:szCs w:val="20"/>
                <w:color w:val="auto"/>
              </w:rPr>
            </w:pPr>
            <w:r>
              <w:rPr>
                <w:rFonts w:ascii="Times New Roman" w:cs="Times New Roman" w:eastAsia="Times New Roman" w:hAnsi="Times New Roman"/>
                <w:sz w:val="15"/>
                <w:szCs w:val="15"/>
                <w:color w:val="auto"/>
              </w:rPr>
              <w:t>4.4​​​​ (203,761​​​)​</w:t>
            </w:r>
          </w:p>
        </w:tc>
        <w:tc>
          <w:tcPr>
            <w:tcW w:w="1280" w:type="dxa"/>
            <w:vAlign w:val="bottom"/>
            <w:gridSpan w:val="6"/>
          </w:tcPr>
          <w:p>
            <w:pPr>
              <w:jc w:val="right"/>
              <w:ind w:right="4"/>
              <w:spacing w:after="0"/>
              <w:rPr>
                <w:sz w:val="20"/>
                <w:szCs w:val="20"/>
                <w:color w:val="auto"/>
              </w:rPr>
            </w:pPr>
            <w:r>
              <w:rPr>
                <w:rFonts w:ascii="Times New Roman" w:cs="Times New Roman" w:eastAsia="Times New Roman" w:hAnsi="Times New Roman"/>
                <w:sz w:val="15"/>
                <w:szCs w:val="15"/>
                <w:color w:val="auto"/>
              </w:rPr>
              <w:t>(4.4​​​)​  (527,507​​​)​</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(72,268​​​)​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Net (loss)/income</w:t>
            </w:r>
          </w:p>
        </w:tc>
        <w:tc>
          <w:tcPr>
            <w:tcW w:w="100" w:type="dxa"/>
            <w:vAlign w:val="bottom"/>
            <w:tcBorders>
              <w:right w:val="single" w:sz="8" w:color="CCEEFF"/>
            </w:tcBorders>
            <w:shd w:val="clear" w:color="auto" w:fill="CCEEFF"/>
          </w:tcPr>
          <w:p>
            <w:pPr>
              <w:spacing w:after="0"/>
              <w:rPr>
                <w:sz w:val="14"/>
                <w:szCs w:val="14"/>
                <w:color w:val="auto"/>
              </w:rPr>
            </w:pPr>
          </w:p>
        </w:tc>
        <w:tc>
          <w:tcPr>
            <w:tcW w:w="720" w:type="dxa"/>
            <w:vAlign w:val="bottom"/>
            <w:gridSpan w:val="4"/>
            <w:shd w:val="clear" w:color="auto" w:fill="CCEEFF"/>
          </w:tcPr>
          <w:p>
            <w:pPr>
              <w:jc w:val="right"/>
              <w:ind w:right="40"/>
              <w:spacing w:after="0" w:line="169" w:lineRule="exact"/>
              <w:rPr>
                <w:sz w:val="20"/>
                <w:szCs w:val="20"/>
                <w:color w:val="auto"/>
              </w:rPr>
            </w:pPr>
            <w:r>
              <w:rPr>
                <w:rFonts w:ascii="Times New Roman" w:cs="Times New Roman" w:eastAsia="Times New Roman" w:hAnsi="Times New Roman"/>
                <w:sz w:val="15"/>
                <w:szCs w:val="15"/>
                <w:b w:val="1"/>
                <w:bCs w:val="1"/>
                <w:color w:val="auto"/>
              </w:rPr>
              <w:t>​ (90,716) ​</w:t>
            </w:r>
          </w:p>
        </w:tc>
        <w:tc>
          <w:tcPr>
            <w:tcW w:w="520" w:type="dxa"/>
            <w:vAlign w:val="bottom"/>
            <w:gridSpan w:val="3"/>
            <w:shd w:val="clear" w:color="auto" w:fill="CCEEFF"/>
          </w:tcPr>
          <w:p>
            <w:pPr>
              <w:jc w:val="right"/>
              <w:ind w:right="60"/>
              <w:spacing w:after="0" w:line="169" w:lineRule="exact"/>
              <w:rPr>
                <w:sz w:val="20"/>
                <w:szCs w:val="20"/>
                <w:color w:val="auto"/>
              </w:rPr>
            </w:pPr>
            <w:r>
              <w:rPr>
                <w:rFonts w:ascii="Times New Roman" w:cs="Times New Roman" w:eastAsia="Times New Roman" w:hAnsi="Times New Roman"/>
                <w:sz w:val="15"/>
                <w:szCs w:val="15"/>
                <w:b w:val="1"/>
                <w:bCs w:val="1"/>
                <w:color w:val="auto"/>
              </w:rPr>
              <w:t>(18.5) ​</w:t>
            </w:r>
          </w:p>
        </w:tc>
        <w:tc>
          <w:tcPr>
            <w:tcW w:w="580" w:type="dxa"/>
            <w:vAlign w:val="bottom"/>
            <w:shd w:val="clear" w:color="auto" w:fill="CCEEFF"/>
          </w:tcPr>
          <w:p>
            <w:pPr>
              <w:ind w:left="80"/>
              <w:spacing w:after="0" w:line="169" w:lineRule="exact"/>
              <w:rPr>
                <w:sz w:val="20"/>
                <w:szCs w:val="20"/>
                <w:color w:val="auto"/>
              </w:rPr>
            </w:pPr>
            <w:r>
              <w:rPr>
                <w:rFonts w:ascii="Times New Roman" w:cs="Times New Roman" w:eastAsia="Times New Roman" w:hAnsi="Times New Roman"/>
                <w:sz w:val="15"/>
                <w:szCs w:val="15"/>
                <w:b w:val="1"/>
                <w:bCs w:val="1"/>
                <w:color w:val="auto"/>
                <w:w w:val="98"/>
              </w:rPr>
              <w:t>802,566</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5"/>
                <w:szCs w:val="15"/>
                <w:b w:val="1"/>
                <w:bCs w:val="1"/>
                <w:color w:val="auto"/>
                <w:w w:val="98"/>
              </w:rPr>
              <w:t>17.3</w:t>
            </w:r>
          </w:p>
        </w:tc>
        <w:tc>
          <w:tcPr>
            <w:tcW w:w="10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gridSpan w:val="2"/>
            <w:shd w:val="clear" w:color="auto" w:fill="CCEEFF"/>
          </w:tcPr>
          <w:p>
            <w:pPr>
              <w:jc w:val="center"/>
              <w:spacing w:after="0" w:line="169" w:lineRule="exact"/>
              <w:rPr>
                <w:sz w:val="20"/>
                <w:szCs w:val="20"/>
                <w:color w:val="auto"/>
              </w:rPr>
            </w:pPr>
            <w:r>
              <w:rPr>
                <w:rFonts w:ascii="Times New Roman" w:cs="Times New Roman" w:eastAsia="Times New Roman" w:hAnsi="Times New Roman"/>
                <w:sz w:val="15"/>
                <w:szCs w:val="15"/>
                <w:b w:val="1"/>
                <w:bCs w:val="1"/>
                <w:color w:val="auto"/>
              </w:rPr>
              <w:t>​ 2,514,591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344,498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28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98"/>
              </w:rPr>
              <w:t>20.3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3840" w:type="dxa"/>
            <w:vAlign w:val="bottom"/>
            <w:shd w:val="clear" w:color="auto" w:fill="CCEEFF"/>
          </w:tcPr>
          <w:p>
            <w:pPr>
              <w:spacing w:after="0"/>
              <w:rPr>
                <w:sz w:val="4"/>
                <w:szCs w:val="4"/>
                <w:color w:val="auto"/>
              </w:rPr>
            </w:pPr>
          </w:p>
        </w:tc>
        <w:tc>
          <w:tcPr>
            <w:tcW w:w="180" w:type="dxa"/>
            <w:vAlign w:val="bottom"/>
            <w:gridSpan w:val="2"/>
            <w:shd w:val="clear" w:color="auto" w:fill="CCEEFF"/>
          </w:tcPr>
          <w:p>
            <w:pPr>
              <w:ind w:left="20"/>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460" w:type="dxa"/>
            <w:vAlign w:val="bottom"/>
            <w:shd w:val="clear" w:color="auto" w:fill="CCEEFF"/>
          </w:tcPr>
          <w:p>
            <w:pPr>
              <w:spacing w:after="0"/>
              <w:rPr>
                <w:sz w:val="4"/>
                <w:szCs w:val="4"/>
                <w:color w:val="auto"/>
              </w:rPr>
            </w:pPr>
          </w:p>
        </w:tc>
        <w:tc>
          <w:tcPr>
            <w:tcW w:w="180" w:type="dxa"/>
            <w:vAlign w:val="bottom"/>
            <w:gridSpan w:val="2"/>
            <w:shd w:val="clear" w:color="auto" w:fill="CCEEFF"/>
          </w:tcPr>
          <w:p>
            <w:pPr>
              <w:jc w:val="right"/>
              <w:ind w:right="40"/>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320" w:type="dxa"/>
            <w:vAlign w:val="bottom"/>
            <w:shd w:val="clear" w:color="auto" w:fill="CCEEFF"/>
          </w:tcPr>
          <w:p>
            <w:pPr>
              <w:spacing w:after="0"/>
              <w:rPr>
                <w:sz w:val="4"/>
                <w:szCs w:val="4"/>
                <w:color w:val="auto"/>
              </w:rPr>
            </w:pPr>
          </w:p>
        </w:tc>
        <w:tc>
          <w:tcPr>
            <w:tcW w:w="200" w:type="dxa"/>
            <w:vAlign w:val="bottom"/>
            <w:gridSpan w:val="2"/>
            <w:shd w:val="clear" w:color="auto" w:fill="CCEEFF"/>
          </w:tcPr>
          <w:p>
            <w:pPr>
              <w:jc w:val="right"/>
              <w:ind w:right="60"/>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580" w:type="dxa"/>
            <w:vAlign w:val="bottom"/>
            <w:shd w:val="clear" w:color="auto" w:fill="CCEEFF"/>
          </w:tcPr>
          <w:p>
            <w:pPr>
              <w:spacing w:after="0"/>
              <w:rPr>
                <w:sz w:val="4"/>
                <w:szCs w:val="4"/>
                <w:color w:val="auto"/>
              </w:rPr>
            </w:pPr>
          </w:p>
        </w:tc>
        <w:tc>
          <w:tcPr>
            <w:tcW w:w="160" w:type="dxa"/>
            <w:vAlign w:val="bottom"/>
            <w:gridSpan w:val="2"/>
            <w:shd w:val="clear" w:color="auto" w:fill="CCEEFF"/>
          </w:tcPr>
          <w:p>
            <w:pPr>
              <w:jc w:val="right"/>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280" w:type="dxa"/>
            <w:vAlign w:val="bottom"/>
            <w:shd w:val="clear" w:color="auto" w:fill="CCEEFF"/>
          </w:tcPr>
          <w:p>
            <w:pPr>
              <w:spacing w:after="0"/>
              <w:rPr>
                <w:sz w:val="4"/>
                <w:szCs w:val="4"/>
                <w:color w:val="auto"/>
              </w:rPr>
            </w:pPr>
          </w:p>
        </w:tc>
        <w:tc>
          <w:tcPr>
            <w:tcW w:w="200" w:type="dxa"/>
            <w:vAlign w:val="bottom"/>
            <w:gridSpan w:val="2"/>
            <w:shd w:val="clear" w:color="auto" w:fill="CCEEFF"/>
          </w:tcPr>
          <w:p>
            <w:pPr>
              <w:jc w:val="right"/>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600" w:type="dxa"/>
            <w:vAlign w:val="bottom"/>
            <w:tcBorders>
              <w:right w:val="single" w:sz="8" w:color="CCEEFF"/>
            </w:tcBorders>
            <w:shd w:val="clear" w:color="auto" w:fill="CCEEFF"/>
          </w:tcPr>
          <w:p>
            <w:pPr>
              <w:spacing w:after="0"/>
              <w:rPr>
                <w:sz w:val="4"/>
                <w:szCs w:val="4"/>
                <w:color w:val="auto"/>
              </w:rPr>
            </w:pPr>
          </w:p>
        </w:tc>
        <w:tc>
          <w:tcPr>
            <w:tcW w:w="200" w:type="dxa"/>
            <w:vAlign w:val="bottom"/>
            <w:gridSpan w:val="2"/>
            <w:shd w:val="clear" w:color="auto" w:fill="CCEEFF"/>
          </w:tcPr>
          <w:p>
            <w:pPr>
              <w:jc w:val="right"/>
              <w:ind w:right="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560" w:type="dxa"/>
            <w:vAlign w:val="bottom"/>
            <w:shd w:val="clear" w:color="auto" w:fill="CCEEFF"/>
          </w:tcPr>
          <w:p>
            <w:pPr>
              <w:spacing w:after="0"/>
              <w:rPr>
                <w:sz w:val="4"/>
                <w:szCs w:val="4"/>
                <w:color w:val="auto"/>
              </w:rPr>
            </w:pPr>
          </w:p>
        </w:tc>
        <w:tc>
          <w:tcPr>
            <w:tcW w:w="160" w:type="dxa"/>
            <w:vAlign w:val="bottom"/>
            <w:gridSpan w:val="2"/>
            <w:shd w:val="clear" w:color="auto" w:fill="CCEEFF"/>
          </w:tcPr>
          <w:p>
            <w:pPr>
              <w:jc w:val="right"/>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280" w:type="dxa"/>
            <w:vAlign w:val="bottom"/>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following table presents our summary consolidated balance sheet data as of the dates indicated.</w:t>
      </w:r>
    </w:p>
    <w:p>
      <w:pPr>
        <w:spacing w:after="0" w:line="178" w:lineRule="exact"/>
        <w:rPr>
          <w:sz w:val="20"/>
          <w:szCs w:val="20"/>
          <w:color w:val="auto"/>
        </w:rPr>
      </w:pPr>
    </w:p>
    <w:tbl>
      <w:tblPr>
        <w:tblLayout w:type="fixed"/>
        <w:tblInd w:w="1280" w:type="dxa"/>
        <w:tblCellMar>
          <w:top w:w="0" w:type="dxa"/>
          <w:left w:w="0" w:type="dxa"/>
          <w:bottom w:w="0" w:type="dxa"/>
          <w:right w:w="0" w:type="dxa"/>
        </w:tblCellMar>
      </w:tblPr>
      <w:tr>
        <w:trPr>
          <w:trHeight w:val="227"/>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tcPr>
          <w:p>
            <w:pPr>
              <w:ind w:left="27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52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tcPr>
          <w:p>
            <w:pPr>
              <w:ind w:left="27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20"/>
                <w:szCs w:val="20"/>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gridSpan w:val="2"/>
          </w:tcPr>
          <w:p>
            <w:pPr>
              <w:jc w:val="center"/>
              <w:ind w:left="2688"/>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20"/>
                <w:szCs w:val="20"/>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RMB</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w:t>
            </w:r>
          </w:p>
        </w:tc>
      </w:tr>
      <w:tr>
        <w:trPr>
          <w:trHeight w:val="240"/>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tcPr>
          <w:p>
            <w:pPr>
              <w:ind w:left="27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3"/>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52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19" w:lineRule="exact"/>
        <w:rPr>
          <w:sz w:val="20"/>
          <w:szCs w:val="20"/>
          <w:color w:val="auto"/>
        </w:rPr>
      </w:pPr>
    </w:p>
    <w:p>
      <w:pPr>
        <w:sectPr>
          <w:pgSz w:w="11900" w:h="16838" w:orient="portrait"/>
          <w:cols w:equalWidth="0" w:num="1">
            <w:col w:w="9879"/>
          </w:cols>
          <w:pgMar w:left="580" w:top="97" w:right="1440" w:bottom="1440" w:gutter="0" w:footer="0" w:header="0"/>
        </w:sectPr>
      </w:pPr>
    </w:p>
    <w:p>
      <w:pPr>
        <w:ind w:left="12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Restricted cash</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Time deposits</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Inventories</w:t>
      </w:r>
    </w:p>
    <w:p>
      <w:pPr>
        <w:spacing w:after="0" w:line="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Prepayments and other current assets</w:t>
      </w:r>
    </w:p>
    <w:p>
      <w:pPr>
        <w:spacing w:after="0" w:line="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Amounts due from related parties</w:t>
      </w:r>
    </w:p>
    <w:p>
      <w:pPr>
        <w:spacing w:after="0" w:line="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Total non-current assets</w:t>
      </w:r>
    </w:p>
    <w:p>
      <w:pPr>
        <w:spacing w:after="0" w:line="1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2,322,680​​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4,754,783​​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651,403​</w:t>
      </w:r>
    </w:p>
    <w:p>
      <w:pPr>
        <w:spacing w:after="0" w:line="27" w:lineRule="exact"/>
        <w:rPr>
          <w:sz w:val="20"/>
          <w:szCs w:val="20"/>
          <w:color w:val="auto"/>
        </w:rPr>
      </w:pPr>
    </w:p>
    <w:p>
      <w:pPr>
        <w:spacing w:after="0"/>
        <w:tabs>
          <w:tab w:leader="none" w:pos="700" w:val="left"/>
          <w:tab w:leader="none" w:pos="1340" w:val="left"/>
          <w:tab w:leader="none" w:pos="226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b/>
        <w:t>13,898​​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b/>
        <w:t>1,904​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100,000​​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100,000​​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13,700​</w:t>
      </w:r>
    </w:p>
    <w:p>
      <w:pPr>
        <w:spacing w:after="0" w:line="31" w:lineRule="exact"/>
        <w:rPr>
          <w:sz w:val="20"/>
          <w:szCs w:val="20"/>
          <w:color w:val="auto"/>
        </w:rPr>
      </w:pPr>
    </w:p>
    <w:p>
      <w:pPr>
        <w:ind w:left="100" w:hanging="100"/>
        <w:spacing w:after="0"/>
        <w:tabs>
          <w:tab w:leader="none" w:pos="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92,769​​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121,967​​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16,709​</w:t>
      </w:r>
    </w:p>
    <w:p>
      <w:pPr>
        <w:spacing w:after="0" w:line="36" w:lineRule="exact"/>
        <w:rPr>
          <w:rFonts w:ascii="Times New Roman" w:cs="Times New Roman" w:eastAsia="Times New Roman" w:hAnsi="Times New Roman"/>
          <w:sz w:val="18"/>
          <w:szCs w:val="18"/>
          <w:color w:val="auto"/>
        </w:rPr>
      </w:pPr>
    </w:p>
    <w:p>
      <w:pPr>
        <w:ind w:left="100" w:hanging="100"/>
        <w:spacing w:after="0"/>
        <w:tabs>
          <w:tab w:leader="none" w:pos="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41,492​​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132,069​​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18,093​</w:t>
      </w:r>
    </w:p>
    <w:p>
      <w:pPr>
        <w:spacing w:after="0" w:line="36" w:lineRule="exact"/>
        <w:rPr>
          <w:rFonts w:ascii="Times New Roman" w:cs="Times New Roman" w:eastAsia="Times New Roman" w:hAnsi="Times New Roman"/>
          <w:sz w:val="18"/>
          <w:szCs w:val="18"/>
          <w:color w:val="auto"/>
        </w:rPr>
      </w:pPr>
    </w:p>
    <w:p>
      <w:pPr>
        <w:ind w:left="100" w:hanging="100"/>
        <w:spacing w:after="0"/>
        <w:tabs>
          <w:tab w:leader="none" w:pos="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91,286​​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315,404​​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43,120​</w:t>
      </w:r>
    </w:p>
    <w:p>
      <w:pPr>
        <w:spacing w:after="0" w:line="185" w:lineRule="auto"/>
        <w:tabs>
          <w:tab w:leader="none" w:pos="700" w:val="left"/>
          <w:tab w:leader="none" w:pos="1440" w:val="left"/>
          <w:tab w:leader="none" w:pos="2400" w:val="left"/>
        </w:tabs>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1,547</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35"/>
          <w:szCs w:val="35"/>
          <w:color w:val="auto"/>
          <w:vertAlign w:val="subscript"/>
        </w:rPr>
        <w:t>​</w:t>
      </w:r>
    </w:p>
    <w:p>
      <w:pPr>
        <w:spacing w:after="0" w:line="182" w:lineRule="auto"/>
        <w:rPr>
          <w:sz w:val="20"/>
          <w:szCs w:val="20"/>
          <w:color w:val="auto"/>
        </w:rPr>
      </w:pPr>
      <w:r>
        <w:rPr>
          <w:rFonts w:ascii="Times New Roman" w:cs="Times New Roman" w:eastAsia="Times New Roman" w:hAnsi="Times New Roman"/>
          <w:sz w:val="34"/>
          <w:szCs w:val="34"/>
          <w:b w:val="1"/>
          <w:bCs w:val="1"/>
          <w:color w:val="auto"/>
          <w:vertAlign w:val="subscript"/>
        </w:rPr>
        <w:t>​ ​</w:t>
      </w:r>
      <w:r>
        <w:rPr>
          <w:rFonts w:ascii="Times New Roman" w:cs="Times New Roman" w:eastAsia="Times New Roman" w:hAnsi="Times New Roman"/>
          <w:sz w:val="34"/>
          <w:szCs w:val="34"/>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​2,648,227</w:t>
      </w:r>
      <w:r>
        <w:rPr>
          <w:rFonts w:ascii="Times New Roman" w:cs="Times New Roman" w:eastAsia="Times New Roman" w:hAnsi="Times New Roman"/>
          <w:sz w:val="34"/>
          <w:szCs w:val="34"/>
          <w:b w:val="1"/>
          <w:bCs w:val="1"/>
          <w:color w:val="auto"/>
          <w:vertAlign w:val="subscript"/>
        </w:rPr>
        <w:t>​​ ​</w:t>
      </w:r>
      <w:r>
        <w:rPr>
          <w:rFonts w:ascii="Times New Roman" w:cs="Times New Roman" w:eastAsia="Times New Roman" w:hAnsi="Times New Roman"/>
          <w:sz w:val="34"/>
          <w:szCs w:val="34"/>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​5,439,668</w:t>
      </w:r>
      <w:r>
        <w:rPr>
          <w:rFonts w:ascii="Times New Roman" w:cs="Times New Roman" w:eastAsia="Times New Roman" w:hAnsi="Times New Roman"/>
          <w:sz w:val="34"/>
          <w:szCs w:val="34"/>
          <w:b w:val="1"/>
          <w:bCs w:val="1"/>
          <w:color w:val="auto"/>
          <w:vertAlign w:val="subscript"/>
        </w:rPr>
        <w:t>​​ ​</w:t>
      </w:r>
      <w:r>
        <w:rPr>
          <w:rFonts w:ascii="Times New Roman" w:cs="Times New Roman" w:eastAsia="Times New Roman" w:hAnsi="Times New Roman"/>
          <w:sz w:val="34"/>
          <w:szCs w:val="34"/>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​745,231</w:t>
      </w:r>
      <w:r>
        <w:rPr>
          <w:rFonts w:ascii="Times New Roman" w:cs="Times New Roman" w:eastAsia="Times New Roman" w:hAnsi="Times New Roman"/>
          <w:sz w:val="34"/>
          <w:szCs w:val="34"/>
          <w:b w:val="1"/>
          <w:bCs w:val="1"/>
          <w:color w:val="auto"/>
          <w:vertAlign w:val="subscript"/>
        </w:rPr>
        <w:t>​</w:t>
      </w:r>
    </w:p>
    <w:p>
      <w:pPr>
        <w:spacing w:after="0" w:line="183" w:lineRule="auto"/>
        <w:rPr>
          <w:sz w:val="20"/>
          <w:szCs w:val="20"/>
          <w:color w:val="auto"/>
        </w:rPr>
      </w:pPr>
      <w:r>
        <w:rPr>
          <w:rFonts w:ascii="Times New Roman" w:cs="Times New Roman" w:eastAsia="Times New Roman" w:hAnsi="Times New Roman"/>
          <w:sz w:val="34"/>
          <w:szCs w:val="34"/>
          <w:b w:val="1"/>
          <w:bCs w:val="1"/>
          <w:color w:val="auto"/>
          <w:vertAlign w:val="subscript"/>
        </w:rPr>
        <w:t>​ ​</w:t>
      </w:r>
      <w:r>
        <w:rPr>
          <w:rFonts w:ascii="Times New Roman" w:cs="Times New Roman" w:eastAsia="Times New Roman" w:hAnsi="Times New Roman"/>
          <w:sz w:val="34"/>
          <w:szCs w:val="34"/>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 294,929</w:t>
      </w:r>
      <w:r>
        <w:rPr>
          <w:rFonts w:ascii="Times New Roman" w:cs="Times New Roman" w:eastAsia="Times New Roman" w:hAnsi="Times New Roman"/>
          <w:sz w:val="34"/>
          <w:szCs w:val="34"/>
          <w:b w:val="1"/>
          <w:bCs w:val="1"/>
          <w:color w:val="auto"/>
          <w:vertAlign w:val="subscript"/>
        </w:rPr>
        <w:t>​​ ​</w:t>
      </w:r>
      <w:r>
        <w:rPr>
          <w:rFonts w:ascii="Times New Roman" w:cs="Times New Roman" w:eastAsia="Times New Roman" w:hAnsi="Times New Roman"/>
          <w:sz w:val="34"/>
          <w:szCs w:val="34"/>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​1,156,438</w:t>
      </w:r>
      <w:r>
        <w:rPr>
          <w:rFonts w:ascii="Times New Roman" w:cs="Times New Roman" w:eastAsia="Times New Roman" w:hAnsi="Times New Roman"/>
          <w:sz w:val="34"/>
          <w:szCs w:val="34"/>
          <w:b w:val="1"/>
          <w:bCs w:val="1"/>
          <w:color w:val="auto"/>
          <w:vertAlign w:val="subscript"/>
        </w:rPr>
        <w:t>​​ ​</w:t>
      </w:r>
      <w:r>
        <w:rPr>
          <w:rFonts w:ascii="Times New Roman" w:cs="Times New Roman" w:eastAsia="Times New Roman" w:hAnsi="Times New Roman"/>
          <w:sz w:val="34"/>
          <w:szCs w:val="34"/>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​158,431</w:t>
      </w:r>
      <w:r>
        <w:rPr>
          <w:rFonts w:ascii="Times New Roman" w:cs="Times New Roman" w:eastAsia="Times New Roman" w:hAnsi="Times New Roman"/>
          <w:sz w:val="34"/>
          <w:szCs w:val="34"/>
          <w:b w:val="1"/>
          <w:bCs w:val="1"/>
          <w:color w:val="auto"/>
          <w:vertAlign w:val="subscript"/>
        </w:rPr>
        <w:t>​</w:t>
      </w:r>
    </w:p>
    <w:p>
      <w:pPr>
        <w:spacing w:after="0" w:line="193" w:lineRule="auto"/>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​2,943,156</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​6,596,106</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​903,662</w:t>
      </w:r>
      <w:r>
        <w:rPr>
          <w:rFonts w:ascii="Times New Roman" w:cs="Times New Roman" w:eastAsia="Times New Roman" w:hAnsi="Times New Roman"/>
          <w:sz w:val="35"/>
          <w:szCs w:val="35"/>
          <w:b w:val="1"/>
          <w:bCs w:val="1"/>
          <w:color w:val="auto"/>
          <w:vertAlign w:val="subscript"/>
        </w:rPr>
        <w:t>​</w:t>
      </w:r>
    </w:p>
    <w:p>
      <w:pPr>
        <w:spacing w:after="0" w:line="200" w:lineRule="exact"/>
        <w:rPr>
          <w:sz w:val="20"/>
          <w:szCs w:val="20"/>
          <w:color w:val="auto"/>
        </w:rPr>
      </w:pPr>
    </w:p>
    <w:p>
      <w:pPr>
        <w:sectPr>
          <w:pgSz w:w="11900" w:h="16838" w:orient="portrait"/>
          <w:cols w:equalWidth="0" w:num="2">
            <w:col w:w="6080" w:space="720"/>
            <w:col w:w="3080"/>
          </w:cols>
          <w:pgMar w:left="580" w:top="97" w:right="1440" w:bottom="1440" w:gutter="0" w:footer="0" w:header="0"/>
          <w:type w:val="continuous"/>
        </w:sectPr>
      </w:pPr>
    </w:p>
    <w:p>
      <w:pPr>
        <w:spacing w:after="0" w:line="2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1280" w:type="dxa"/>
        <w:tblCellMar>
          <w:top w:w="0" w:type="dxa"/>
          <w:left w:w="0" w:type="dxa"/>
          <w:bottom w:w="0" w:type="dxa"/>
          <w:right w:w="0" w:type="dxa"/>
        </w:tblCellMar>
      </w:tblPr>
      <w:tr>
        <w:trPr>
          <w:trHeight w:val="227"/>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20"/>
                <w:szCs w:val="20"/>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20"/>
                <w:szCs w:val="20"/>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0"/>
                <w:szCs w:val="20"/>
                <w:color w:val="auto"/>
              </w:rPr>
            </w:pPr>
          </w:p>
        </w:tc>
        <w:tc>
          <w:tcPr>
            <w:tcW w:w="640" w:type="dxa"/>
            <w:vAlign w:val="bottom"/>
            <w:gridSpan w:val="3"/>
          </w:tcPr>
          <w:p>
            <w:pPr>
              <w:ind w:left="16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w:t>
            </w:r>
          </w:p>
        </w:tc>
      </w:tr>
      <w:tr>
        <w:trPr>
          <w:trHeight w:val="196"/>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gridSpan w:val="10"/>
            <w:shd w:val="clear" w:color="auto" w:fill="CCEEFF"/>
          </w:tcPr>
          <w:p>
            <w:pPr>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​1,454,904</w:t>
            </w:r>
            <w:r>
              <w:rPr>
                <w:rFonts w:ascii="Times New Roman" w:cs="Times New Roman" w:eastAsia="Times New Roman" w:hAnsi="Times New Roman"/>
                <w:sz w:val="31"/>
                <w:szCs w:val="31"/>
                <w:b w:val="1"/>
                <w:bCs w:val="1"/>
                <w:color w:val="auto"/>
                <w:vertAlign w:val="subscript"/>
              </w:rPr>
              <w:t>​​ ​​</w:t>
            </w:r>
            <w:r>
              <w:rPr>
                <w:rFonts w:ascii="Times New Roman" w:cs="Times New Roman" w:eastAsia="Times New Roman" w:hAnsi="Times New Roman"/>
                <w:sz w:val="17"/>
                <w:szCs w:val="17"/>
                <w:b w:val="1"/>
                <w:bCs w:val="1"/>
                <w:color w:val="auto"/>
              </w:rPr>
              <w:t>​2,297,928</w:t>
            </w:r>
            <w:r>
              <w:rPr>
                <w:rFonts w:ascii="Times New Roman" w:cs="Times New Roman" w:eastAsia="Times New Roman" w:hAnsi="Times New Roman"/>
                <w:sz w:val="31"/>
                <w:szCs w:val="31"/>
                <w:b w:val="1"/>
                <w:bCs w:val="1"/>
                <w:color w:val="auto"/>
                <w:vertAlign w:val="subscript"/>
              </w:rPr>
              <w:t>​​</w:t>
            </w:r>
          </w:p>
        </w:tc>
        <w:tc>
          <w:tcPr>
            <w:tcW w:w="680" w:type="dxa"/>
            <w:vAlign w:val="bottom"/>
            <w:gridSpan w:val="3"/>
            <w:shd w:val="clear" w:color="auto" w:fill="CCEEFF"/>
          </w:tcPr>
          <w:p>
            <w:pPr>
              <w:ind w:left="20"/>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​314,814</w:t>
            </w:r>
          </w:p>
        </w:tc>
        <w:tc>
          <w:tcPr>
            <w:tcW w:w="2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3"/>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960" w:type="dxa"/>
            <w:vAlign w:val="bottom"/>
            <w:gridSpan w:val="5"/>
          </w:tcPr>
          <w:p>
            <w:pPr>
              <w:ind w:left="60"/>
              <w:spacing w:after="0" w:line="264" w:lineRule="exact"/>
              <w:rPr>
                <w:sz w:val="20"/>
                <w:szCs w:val="20"/>
                <w:color w:val="auto"/>
              </w:rPr>
            </w:pPr>
            <w:r>
              <w:rPr>
                <w:rFonts w:ascii="Times New Roman" w:cs="Times New Roman" w:eastAsia="Times New Roman" w:hAnsi="Times New Roman"/>
                <w:sz w:val="16"/>
                <w:szCs w:val="16"/>
                <w:b w:val="1"/>
                <w:bCs w:val="1"/>
                <w:color w:val="auto"/>
              </w:rPr>
              <w:t>192,330</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w:t>
            </w:r>
          </w:p>
        </w:tc>
        <w:tc>
          <w:tcPr>
            <w:tcW w:w="78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609,923</w:t>
            </w:r>
            <w:r>
              <w:rPr>
                <w:rFonts w:ascii="Times New Roman" w:cs="Times New Roman" w:eastAsia="Times New Roman" w:hAnsi="Times New Roman"/>
                <w:sz w:val="30"/>
                <w:szCs w:val="30"/>
                <w:b w:val="1"/>
                <w:bCs w:val="1"/>
                <w:color w:val="auto"/>
                <w:vertAlign w:val="subscript"/>
              </w:rPr>
              <w:t>​​</w:t>
            </w:r>
          </w:p>
        </w:tc>
        <w:tc>
          <w:tcPr>
            <w:tcW w:w="740" w:type="dxa"/>
            <w:vAlign w:val="bottom"/>
            <w:gridSpan w:val="5"/>
          </w:tcPr>
          <w:p>
            <w:pPr>
              <w:ind w:left="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83,558</w:t>
            </w:r>
            <w:r>
              <w:rPr>
                <w:rFonts w:ascii="Times New Roman" w:cs="Times New Roman" w:eastAsia="Times New Roman" w:hAnsi="Times New Roman"/>
                <w:sz w:val="30"/>
                <w:szCs w:val="30"/>
                <w:b w:val="1"/>
                <w:bCs w:val="1"/>
                <w:color w:val="auto"/>
                <w:vertAlign w:val="subscript"/>
              </w:rPr>
              <w:t>​</w:t>
            </w:r>
          </w:p>
        </w:tc>
      </w:tr>
      <w:tr>
        <w:trPr>
          <w:trHeight w:val="20"/>
        </w:trPr>
        <w:tc>
          <w:tcPr>
            <w:tcW w:w="5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5"/>
            <w:shd w:val="clear" w:color="auto" w:fill="CCEEFF"/>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​1,647,234</w:t>
            </w:r>
            <w:r>
              <w:rPr>
                <w:rFonts w:ascii="Times New Roman" w:cs="Times New Roman" w:eastAsia="Times New Roman" w:hAnsi="Times New Roman"/>
                <w:sz w:val="28"/>
                <w:szCs w:val="28"/>
                <w:b w:val="1"/>
                <w:bCs w:val="1"/>
                <w:color w:val="auto"/>
                <w:vertAlign w:val="subscript"/>
              </w:rPr>
              <w:t>​​</w:t>
            </w:r>
          </w:p>
        </w:tc>
        <w:tc>
          <w:tcPr>
            <w:tcW w:w="1000" w:type="dxa"/>
            <w:vAlign w:val="bottom"/>
            <w:gridSpan w:val="5"/>
            <w:shd w:val="clear" w:color="auto" w:fill="CCEEFF"/>
          </w:tcPr>
          <w:p>
            <w:pPr>
              <w:ind w:left="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​2,907,851</w:t>
            </w:r>
            <w:r>
              <w:rPr>
                <w:rFonts w:ascii="Times New Roman" w:cs="Times New Roman" w:eastAsia="Times New Roman" w:hAnsi="Times New Roman"/>
                <w:sz w:val="28"/>
                <w:szCs w:val="28"/>
                <w:b w:val="1"/>
                <w:bCs w:val="1"/>
                <w:color w:val="auto"/>
                <w:vertAlign w:val="subscript"/>
              </w:rPr>
              <w:t>​​</w:t>
            </w:r>
          </w:p>
        </w:tc>
        <w:tc>
          <w:tcPr>
            <w:tcW w:w="680" w:type="dxa"/>
            <w:vAlign w:val="bottom"/>
            <w:gridSpan w:val="3"/>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​398,372</w:t>
            </w:r>
          </w:p>
        </w:tc>
        <w:tc>
          <w:tcPr>
            <w:tcW w:w="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1"/>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5"/>
          </w:tcPr>
          <w:p>
            <w:pPr>
              <w:spacing w:after="0" w:line="231"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5"/>
                <w:szCs w:val="15"/>
                <w:b w:val="1"/>
                <w:bCs w:val="1"/>
                <w:color w:val="auto"/>
              </w:rPr>
              <w:t>​ 885,780</w:t>
            </w:r>
            <w:r>
              <w:rPr>
                <w:rFonts w:ascii="Times New Roman" w:cs="Times New Roman" w:eastAsia="Times New Roman" w:hAnsi="Times New Roman"/>
                <w:sz w:val="26"/>
                <w:szCs w:val="26"/>
                <w:b w:val="1"/>
                <w:bCs w:val="1"/>
                <w:color w:val="auto"/>
                <w:vertAlign w:val="subscript"/>
              </w:rPr>
              <w:t>​​</w:t>
            </w:r>
          </w:p>
        </w:tc>
        <w:tc>
          <w:tcPr>
            <w:tcW w:w="1000" w:type="dxa"/>
            <w:vAlign w:val="bottom"/>
            <w:gridSpan w:val="5"/>
          </w:tcPr>
          <w:p>
            <w:pPr>
              <w:ind w:left="60"/>
              <w:spacing w:after="0" w:line="231"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5"/>
                <w:szCs w:val="15"/>
                <w:b w:val="1"/>
                <w:bCs w:val="1"/>
                <w:color w:val="auto"/>
              </w:rPr>
              <w:t>​ 933,780</w:t>
            </w:r>
            <w:r>
              <w:rPr>
                <w:rFonts w:ascii="Times New Roman" w:cs="Times New Roman" w:eastAsia="Times New Roman" w:hAnsi="Times New Roman"/>
                <w:sz w:val="26"/>
                <w:szCs w:val="26"/>
                <w:b w:val="1"/>
                <w:bCs w:val="1"/>
                <w:color w:val="auto"/>
                <w:vertAlign w:val="subscript"/>
              </w:rPr>
              <w:t>​​</w:t>
            </w:r>
          </w:p>
        </w:tc>
        <w:tc>
          <w:tcPr>
            <w:tcW w:w="740" w:type="dxa"/>
            <w:vAlign w:val="bottom"/>
            <w:gridSpan w:val="5"/>
          </w:tcPr>
          <w:p>
            <w:pPr>
              <w:ind w:left="20"/>
              <w:spacing w:after="0" w:line="231"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5"/>
                <w:szCs w:val="15"/>
                <w:b w:val="1"/>
                <w:bCs w:val="1"/>
                <w:color w:val="auto"/>
              </w:rPr>
              <w:t>​127,927</w:t>
            </w:r>
            <w:r>
              <w:rPr>
                <w:rFonts w:ascii="Times New Roman" w:cs="Times New Roman" w:eastAsia="Times New Roman" w:hAnsi="Times New Roman"/>
                <w:sz w:val="26"/>
                <w:szCs w:val="26"/>
                <w:b w:val="1"/>
                <w:bCs w:val="1"/>
                <w:color w:val="auto"/>
                <w:vertAlign w:val="subscript"/>
              </w:rPr>
              <w:t>​</w:t>
            </w:r>
          </w:p>
        </w:tc>
      </w:tr>
      <w:tr>
        <w:trPr>
          <w:trHeight w:val="20"/>
        </w:trPr>
        <w:tc>
          <w:tcPr>
            <w:tcW w:w="5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5"/>
            <w:shd w:val="clear" w:color="auto" w:fill="CCEEFF"/>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410,142</w:t>
            </w:r>
            <w:r>
              <w:rPr>
                <w:rFonts w:ascii="Times New Roman" w:cs="Times New Roman" w:eastAsia="Times New Roman" w:hAnsi="Times New Roman"/>
                <w:sz w:val="30"/>
                <w:szCs w:val="30"/>
                <w:b w:val="1"/>
                <w:bCs w:val="1"/>
                <w:color w:val="auto"/>
                <w:vertAlign w:val="subscript"/>
              </w:rPr>
              <w:t>​​</w:t>
            </w:r>
          </w:p>
        </w:tc>
        <w:tc>
          <w:tcPr>
            <w:tcW w:w="1000" w:type="dxa"/>
            <w:vAlign w:val="bottom"/>
            <w:gridSpan w:val="5"/>
            <w:shd w:val="clear" w:color="auto" w:fill="CCEEFF"/>
          </w:tcPr>
          <w:p>
            <w:pPr>
              <w:ind w:left="6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​2,754,475</w:t>
            </w:r>
            <w:r>
              <w:rPr>
                <w:rFonts w:ascii="Times New Roman" w:cs="Times New Roman" w:eastAsia="Times New Roman" w:hAnsi="Times New Roman"/>
                <w:sz w:val="30"/>
                <w:szCs w:val="30"/>
                <w:b w:val="1"/>
                <w:bCs w:val="1"/>
                <w:color w:val="auto"/>
                <w:vertAlign w:val="subscript"/>
              </w:rPr>
              <w:t>​​</w:t>
            </w:r>
          </w:p>
        </w:tc>
        <w:tc>
          <w:tcPr>
            <w:tcW w:w="680" w:type="dxa"/>
            <w:vAlign w:val="bottom"/>
            <w:gridSpan w:val="3"/>
            <w:shd w:val="clear" w:color="auto" w:fill="CCEEFF"/>
          </w:tcPr>
          <w:p>
            <w:pPr>
              <w:ind w:left="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​377,363</w:t>
            </w:r>
          </w:p>
        </w:tc>
        <w:tc>
          <w:tcPr>
            <w:tcW w:w="2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3"/>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5"/>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​2,943,156</w:t>
            </w:r>
            <w:r>
              <w:rPr>
                <w:rFonts w:ascii="Times New Roman" w:cs="Times New Roman" w:eastAsia="Times New Roman" w:hAnsi="Times New Roman"/>
                <w:sz w:val="28"/>
                <w:szCs w:val="28"/>
                <w:b w:val="1"/>
                <w:bCs w:val="1"/>
                <w:color w:val="auto"/>
                <w:vertAlign w:val="subscript"/>
              </w:rPr>
              <w:t>​​</w:t>
            </w:r>
          </w:p>
        </w:tc>
        <w:tc>
          <w:tcPr>
            <w:tcW w:w="1000" w:type="dxa"/>
            <w:vAlign w:val="bottom"/>
            <w:gridSpan w:val="5"/>
          </w:tcPr>
          <w:p>
            <w:pPr>
              <w:ind w:left="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​6,596,106</w:t>
            </w:r>
            <w:r>
              <w:rPr>
                <w:rFonts w:ascii="Times New Roman" w:cs="Times New Roman" w:eastAsia="Times New Roman" w:hAnsi="Times New Roman"/>
                <w:sz w:val="28"/>
                <w:szCs w:val="28"/>
                <w:b w:val="1"/>
                <w:bCs w:val="1"/>
                <w:color w:val="auto"/>
                <w:vertAlign w:val="subscript"/>
              </w:rPr>
              <w:t>​​</w:t>
            </w:r>
          </w:p>
        </w:tc>
        <w:tc>
          <w:tcPr>
            <w:tcW w:w="740" w:type="dxa"/>
            <w:vAlign w:val="bottom"/>
            <w:gridSpan w:val="5"/>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​903,662</w:t>
            </w:r>
            <w:r>
              <w:rPr>
                <w:rFonts w:ascii="Times New Roman" w:cs="Times New Roman" w:eastAsia="Times New Roman" w:hAnsi="Times New Roman"/>
                <w:sz w:val="28"/>
                <w:szCs w:val="28"/>
                <w:b w:val="1"/>
                <w:bCs w:val="1"/>
                <w:color w:val="auto"/>
                <w:vertAlign w:val="subscript"/>
              </w:rPr>
              <w:t>​</w:t>
            </w:r>
          </w:p>
        </w:tc>
      </w:tr>
      <w:tr>
        <w:trPr>
          <w:trHeight w:val="21"/>
        </w:trPr>
        <w:tc>
          <w:tcPr>
            <w:tcW w:w="5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following table presents our summary consolidated cash flow data for the years presented.</w:t>
      </w:r>
    </w:p>
    <w:p>
      <w:pPr>
        <w:spacing w:after="0" w:line="178" w:lineRule="exact"/>
        <w:rPr>
          <w:sz w:val="20"/>
          <w:szCs w:val="20"/>
          <w:color w:val="auto"/>
        </w:rPr>
      </w:pPr>
    </w:p>
    <w:tbl>
      <w:tblPr>
        <w:tblLayout w:type="fixed"/>
        <w:tblInd w:w="1280" w:type="dxa"/>
        <w:tblCellMar>
          <w:top w:w="0" w:type="dxa"/>
          <w:left w:w="0" w:type="dxa"/>
          <w:bottom w:w="0" w:type="dxa"/>
          <w:right w:w="0" w:type="dxa"/>
        </w:tblCellMar>
      </w:tblPr>
      <w:tr>
        <w:trPr>
          <w:trHeight w:val="227"/>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2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7"/>
          </w:tcPr>
          <w:p>
            <w:pPr>
              <w:jc w:val="center"/>
              <w:ind w:right="409"/>
              <w:spacing w:after="0"/>
              <w:rPr>
                <w:sz w:val="20"/>
                <w:szCs w:val="20"/>
                <w:color w:val="auto"/>
              </w:rPr>
            </w:pPr>
            <w:r>
              <w:rPr>
                <w:rFonts w:ascii="Times New Roman" w:cs="Times New Roman" w:eastAsia="Times New Roman" w:hAnsi="Times New Roman"/>
                <w:sz w:val="14"/>
                <w:szCs w:val="14"/>
                <w:b w:val="1"/>
                <w:bCs w:val="1"/>
                <w:color w:val="auto"/>
                <w:w w:val="96"/>
              </w:rPr>
              <w:t>For the Year Ended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gridSpan w:val="2"/>
          </w:tcPr>
          <w:p>
            <w:pPr>
              <w:ind w:left="25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0"/>
                <w:szCs w:val="20"/>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20"/>
                <w:szCs w:val="20"/>
                <w:color w:val="auto"/>
              </w:rPr>
            </w:pPr>
          </w:p>
        </w:tc>
        <w:tc>
          <w:tcPr>
            <w:tcW w:w="90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gridSpan w:val="2"/>
          </w:tcPr>
          <w:p>
            <w:pPr>
              <w:ind w:left="25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20"/>
                <w:szCs w:val="20"/>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RMB</w:t>
            </w:r>
          </w:p>
        </w:tc>
        <w:tc>
          <w:tcPr>
            <w:tcW w:w="900" w:type="dxa"/>
            <w:vAlign w:val="bottom"/>
          </w:tcPr>
          <w:p>
            <w:pPr>
              <w:jc w:val="right"/>
              <w:ind w:right="109"/>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2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9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19" w:lineRule="exact"/>
        <w:rPr>
          <w:sz w:val="20"/>
          <w:szCs w:val="20"/>
          <w:color w:val="auto"/>
        </w:rPr>
      </w:pPr>
    </w:p>
    <w:p>
      <w:pPr>
        <w:sectPr>
          <w:pgSz w:w="11900" w:h="16838" w:orient="portrait"/>
          <w:cols w:equalWidth="0" w:num="1">
            <w:col w:w="9879"/>
          </w:cols>
          <w:pgMar w:left="580" w:top="97" w:right="1440" w:bottom="1440" w:gutter="0" w:footer="0" w:header="0"/>
        </w:sectPr>
      </w:pPr>
    </w:p>
    <w:p>
      <w:pPr>
        <w:ind w:left="128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p>
      <w:pPr>
        <w:spacing w:after="0" w:line="36" w:lineRule="exact"/>
        <w:rPr>
          <w:sz w:val="20"/>
          <w:szCs w:val="20"/>
          <w:color w:val="auto"/>
        </w:rPr>
      </w:pPr>
    </w:p>
    <w:p>
      <w:pPr>
        <w:ind w:left="1460" w:hanging="179"/>
        <w:spacing w:after="0" w:line="281" w:lineRule="auto"/>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p>
      <w:pPr>
        <w:spacing w:after="0" w:line="1" w:lineRule="exact"/>
        <w:rPr>
          <w:sz w:val="20"/>
          <w:szCs w:val="20"/>
          <w:color w:val="auto"/>
        </w:rPr>
      </w:pPr>
    </w:p>
    <w:p>
      <w:pPr>
        <w:ind w:left="1280" w:right="360"/>
        <w:spacing w:after="0" w:line="308" w:lineRule="auto"/>
        <w:rPr>
          <w:sz w:val="20"/>
          <w:szCs w:val="20"/>
          <w:color w:val="auto"/>
        </w:rPr>
      </w:pPr>
      <w:r>
        <w:rPr>
          <w:rFonts w:ascii="Times New Roman" w:cs="Times New Roman" w:eastAsia="Times New Roman" w:hAnsi="Times New Roman"/>
          <w:sz w:val="18"/>
          <w:szCs w:val="18"/>
          <w:color w:val="auto"/>
        </w:rPr>
        <w:t>Net increase in cash and cash equivalents and restricted cash Cash and cash equivalents at the beginning of the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43,034​​​​1,933,607​​​​2,837,656​​​​388,756​</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(10,982)</w:t>
            </w: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w w:val="99"/>
              </w:rPr>
              <w:t>(146,711)</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w w:val="99"/>
              </w:rPr>
              <w:t>(229,479)</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(31,438)</w:t>
            </w:r>
          </w:p>
        </w:tc>
        <w:tc>
          <w:tcPr>
            <w:tcW w:w="0" w:type="dxa"/>
            <w:vAlign w:val="bottom"/>
          </w:tcPr>
          <w:p>
            <w:pPr>
              <w:spacing w:after="0"/>
              <w:rPr>
                <w:sz w:val="1"/>
                <w:szCs w:val="1"/>
                <w:color w:val="auto"/>
              </w:rPr>
            </w:pPr>
          </w:p>
        </w:tc>
      </w:tr>
      <w:tr>
        <w:trPr>
          <w:trHeight w:val="76"/>
        </w:trPr>
        <w:tc>
          <w:tcPr>
            <w:tcW w:w="30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8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8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43"/>
              <w:spacing w:after="0" w:line="181" w:lineRule="exact"/>
              <w:rPr>
                <w:sz w:val="20"/>
                <w:szCs w:val="20"/>
                <w:color w:val="auto"/>
              </w:rPr>
            </w:pPr>
            <w:r>
              <w:rPr>
                <w:rFonts w:ascii="Times New Roman" w:cs="Times New Roman" w:eastAsia="Times New Roman" w:hAnsi="Times New Roman"/>
                <w:sz w:val="18"/>
                <w:szCs w:val="18"/>
                <w:color w:val="auto"/>
              </w:rPr>
              <w:t>(33)</w:t>
            </w:r>
          </w:p>
        </w:tc>
        <w:tc>
          <w:tcPr>
            <w:tcW w:w="860" w:type="dxa"/>
            <w:vAlign w:val="bottom"/>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rPr>
              <w:t>344,197</w:t>
            </w:r>
          </w:p>
        </w:tc>
        <w:tc>
          <w:tcPr>
            <w:tcW w:w="820" w:type="dxa"/>
            <w:vAlign w:val="bottom"/>
          </w:tcPr>
          <w:p>
            <w:pPr>
              <w:jc w:val="right"/>
              <w:ind w:right="20"/>
              <w:spacing w:after="0" w:line="181" w:lineRule="exact"/>
              <w:rPr>
                <w:sz w:val="20"/>
                <w:szCs w:val="20"/>
                <w:color w:val="auto"/>
              </w:rPr>
            </w:pPr>
            <w:r>
              <w:rPr>
                <w:rFonts w:ascii="Times New Roman" w:cs="Times New Roman" w:eastAsia="Times New Roman" w:hAnsi="Times New Roman"/>
                <w:sz w:val="18"/>
                <w:szCs w:val="18"/>
                <w:color w:val="auto"/>
                <w:w w:val="99"/>
              </w:rPr>
              <w:t>(173,932)</w:t>
            </w:r>
          </w:p>
        </w:tc>
        <w:tc>
          <w:tcPr>
            <w:tcW w:w="6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7"/>
              </w:rPr>
              <w:t>(23,828)</w:t>
            </w:r>
          </w:p>
        </w:tc>
        <w:tc>
          <w:tcPr>
            <w:tcW w:w="0" w:type="dxa"/>
            <w:vAlign w:val="bottom"/>
          </w:tcPr>
          <w:p>
            <w:pPr>
              <w:spacing w:after="0"/>
              <w:rPr>
                <w:sz w:val="1"/>
                <w:szCs w:val="1"/>
                <w:color w:val="auto"/>
              </w:rPr>
            </w:pPr>
          </w:p>
        </w:tc>
      </w:tr>
      <w:tr>
        <w:trPr>
          <w:trHeight w:val="235"/>
        </w:trPr>
        <w:tc>
          <w:tcPr>
            <w:tcW w:w="300" w:type="dxa"/>
            <w:vAlign w:val="bottom"/>
            <w:vMerge w:val="continue"/>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1"/>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(9,159​​​)</w:t>
            </w: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11,756​​​</w:t>
            </w: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32,019​​​​2,121,934​​​​2,446,001​​​​335,101​</w:t>
      </w:r>
    </w:p>
    <w:p>
      <w:pPr>
        <w:spacing w:after="0" w:line="193" w:lineRule="auto"/>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​168,727</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 200,746</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​2,322,680</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​318,206</w:t>
      </w:r>
      <w:r>
        <w:rPr>
          <w:rFonts w:ascii="Times New Roman" w:cs="Times New Roman" w:eastAsia="Times New Roman" w:hAnsi="Times New Roman"/>
          <w:sz w:val="35"/>
          <w:szCs w:val="35"/>
          <w:color w:val="auto"/>
          <w:vertAlign w:val="subscript"/>
        </w:rPr>
        <w:t>​</w:t>
      </w:r>
    </w:p>
    <w:p>
      <w:pPr>
        <w:spacing w:after="0" w:line="1" w:lineRule="exact"/>
        <w:rPr>
          <w:sz w:val="20"/>
          <w:szCs w:val="20"/>
          <w:color w:val="auto"/>
        </w:rPr>
      </w:pPr>
    </w:p>
    <w:p>
      <w:pPr>
        <w:sectPr>
          <w:pgSz w:w="11900" w:h="16838" w:orient="portrait"/>
          <w:cols w:equalWidth="0" w:num="2">
            <w:col w:w="6220" w:space="140"/>
            <w:col w:w="3519"/>
          </w:cols>
          <w:pgMar w:left="580" w:top="97"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07"/>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the end of the</w:t>
            </w:r>
          </w:p>
        </w:tc>
        <w:tc>
          <w:tcPr>
            <w:tcW w:w="3420" w:type="dxa"/>
            <w:vAlign w:val="bottom"/>
            <w:vMerge w:val="restart"/>
          </w:tcPr>
          <w:p>
            <w:pPr>
              <w:ind w:left="240"/>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​200,746</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​2,322,680</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​4,768,681</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​653,307</w:t>
            </w:r>
            <w:r>
              <w:rPr>
                <w:rFonts w:ascii="Times New Roman" w:cs="Times New Roman" w:eastAsia="Times New Roman" w:hAnsi="Times New Roman"/>
                <w:sz w:val="35"/>
                <w:szCs w:val="35"/>
                <w:b w:val="1"/>
                <w:bCs w:val="1"/>
                <w:color w:val="auto"/>
                <w:vertAlign w:val="subscript"/>
              </w:rPr>
              <w:t>​</w:t>
            </w:r>
          </w:p>
        </w:tc>
        <w:tc>
          <w:tcPr>
            <w:tcW w:w="0" w:type="dxa"/>
            <w:vAlign w:val="bottom"/>
          </w:tcPr>
          <w:p>
            <w:pPr>
              <w:spacing w:after="0"/>
              <w:rPr>
                <w:sz w:val="1"/>
                <w:szCs w:val="1"/>
                <w:color w:val="auto"/>
              </w:rPr>
            </w:pPr>
          </w:p>
        </w:tc>
      </w:tr>
      <w:tr>
        <w:trPr>
          <w:trHeight w:val="279"/>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Selected Unaudited Quarterly Results of Operations</w:t>
      </w:r>
    </w:p>
    <w:p>
      <w:pPr>
        <w:spacing w:after="0" w:line="162" w:lineRule="exact"/>
        <w:rPr>
          <w:sz w:val="20"/>
          <w:szCs w:val="20"/>
          <w:color w:val="auto"/>
        </w:rPr>
      </w:pPr>
    </w:p>
    <w:p>
      <w:pPr>
        <w:jc w:val="both"/>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 sets forth our unaudited consolidated quarterly results of operations data for the periods indicated. You should read the following table in conjunction with our consolidated financial statements and related notes included elsewhere in this prospectus. We have prepared the unaudited consolidated quarterly financial information on the same basis as our annual consolidated financial statements. The unaudited consolidated quarterly financial information includes all adjustments, consisting only of normal and recurring adjustments, that we consider necessary for a fair statement of our operating results for the quarters presented. See “Management’s Discussion and Analysis of Financial Condition and Results of Operations — Results of Operations — Selected Quarterly Results of Operations.”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1280" w:type="dxa"/>
        <w:tblCellMar>
          <w:top w:w="0" w:type="dxa"/>
          <w:left w:w="0" w:type="dxa"/>
          <w:bottom w:w="0" w:type="dxa"/>
          <w:right w:w="0" w:type="dxa"/>
        </w:tblCellMar>
      </w:tblPr>
      <w:tr>
        <w:trPr>
          <w:trHeight w:val="142"/>
        </w:trPr>
        <w:tc>
          <w:tcPr>
            <w:tcW w:w="11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6"/>
        </w:trPr>
        <w:tc>
          <w:tcPr>
            <w:tcW w:w="1120" w:type="dxa"/>
            <w:vAlign w:val="bottom"/>
            <w:vMerge w:val="continue"/>
          </w:tcPr>
          <w:p>
            <w:pPr>
              <w:spacing w:after="0"/>
              <w:rPr>
                <w:sz w:val="3"/>
                <w:szCs w:val="3"/>
                <w:color w:val="auto"/>
              </w:rPr>
            </w:pPr>
          </w:p>
        </w:tc>
        <w:tc>
          <w:tcPr>
            <w:tcW w:w="80" w:type="dxa"/>
            <w:vAlign w:val="bottom"/>
            <w:tcBorders>
              <w:bottom w:val="single" w:sz="8" w:color="auto"/>
            </w:tcBorders>
            <w:vMerge w:val="continue"/>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1120" w:type="dxa"/>
            <w:vAlign w:val="bottom"/>
          </w:tcPr>
          <w:p>
            <w:pPr>
              <w:spacing w:after="0"/>
              <w:rPr>
                <w:sz w:val="10"/>
                <w:szCs w:val="10"/>
                <w:color w:val="auto"/>
              </w:rPr>
            </w:pPr>
          </w:p>
        </w:tc>
        <w:tc>
          <w:tcPr>
            <w:tcW w:w="94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March 31, June 30,</w:t>
            </w: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September 30,</w:t>
            </w:r>
          </w:p>
        </w:tc>
        <w:tc>
          <w:tcPr>
            <w:tcW w:w="80" w:type="dxa"/>
            <w:vAlign w:val="bottom"/>
          </w:tcPr>
          <w:p>
            <w:pPr>
              <w:spacing w:after="0"/>
              <w:rPr>
                <w:sz w:val="10"/>
                <w:szCs w:val="10"/>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87"/>
              </w:rPr>
              <w:t>December 31,</w:t>
            </w:r>
          </w:p>
        </w:tc>
        <w:tc>
          <w:tcPr>
            <w:tcW w:w="4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1"/>
              </w:rPr>
              <w:t>March 31,</w:t>
            </w:r>
          </w:p>
        </w:tc>
        <w:tc>
          <w:tcPr>
            <w:tcW w:w="20" w:type="dxa"/>
            <w:vAlign w:val="bottom"/>
          </w:tcPr>
          <w:p>
            <w:pPr>
              <w:spacing w:after="0"/>
              <w:rPr>
                <w:sz w:val="10"/>
                <w:szCs w:val="10"/>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1"/>
              </w:rPr>
              <w:t>June 30,</w:t>
            </w:r>
          </w:p>
        </w:tc>
        <w:tc>
          <w:tcPr>
            <w:tcW w:w="80" w:type="dxa"/>
            <w:vAlign w:val="bottom"/>
          </w:tcPr>
          <w:p>
            <w:pPr>
              <w:spacing w:after="0"/>
              <w:rPr>
                <w:sz w:val="10"/>
                <w:szCs w:val="10"/>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w w:val="90"/>
              </w:rPr>
              <w:t>September 30, December 31,</w:t>
            </w:r>
          </w:p>
        </w:tc>
        <w:tc>
          <w:tcPr>
            <w:tcW w:w="40" w:type="dxa"/>
            <w:vAlign w:val="bottom"/>
          </w:tcPr>
          <w:p>
            <w:pPr>
              <w:spacing w:after="0"/>
              <w:rPr>
                <w:sz w:val="10"/>
                <w:szCs w:val="10"/>
                <w:color w:val="auto"/>
              </w:rPr>
            </w:pPr>
          </w:p>
        </w:tc>
        <w:tc>
          <w:tcPr>
            <w:tcW w:w="600" w:type="dxa"/>
            <w:vAlign w:val="bottom"/>
            <w:gridSpan w:val="4"/>
          </w:tcPr>
          <w:p>
            <w:pPr>
              <w:jc w:val="center"/>
              <w:ind w:right="67"/>
              <w:spacing w:after="0"/>
              <w:rPr>
                <w:sz w:val="20"/>
                <w:szCs w:val="20"/>
                <w:color w:val="auto"/>
              </w:rPr>
            </w:pPr>
            <w:r>
              <w:rPr>
                <w:rFonts w:ascii="Times New Roman" w:cs="Times New Roman" w:eastAsia="Times New Roman" w:hAnsi="Times New Roman"/>
                <w:sz w:val="11"/>
                <w:szCs w:val="11"/>
                <w:b w:val="1"/>
                <w:bCs w:val="1"/>
                <w:color w:val="auto"/>
                <w:w w:val="95"/>
              </w:rPr>
              <w:t>March 31,</w:t>
            </w:r>
          </w:p>
        </w:tc>
        <w:tc>
          <w:tcPr>
            <w:tcW w:w="480" w:type="dxa"/>
            <w:vAlign w:val="bottom"/>
          </w:tcPr>
          <w:p>
            <w:pPr>
              <w:jc w:val="center"/>
              <w:ind w:right="24"/>
              <w:spacing w:after="0"/>
              <w:rPr>
                <w:sz w:val="20"/>
                <w:szCs w:val="20"/>
                <w:color w:val="auto"/>
              </w:rPr>
            </w:pPr>
            <w:r>
              <w:rPr>
                <w:rFonts w:ascii="Times New Roman" w:cs="Times New Roman" w:eastAsia="Times New Roman" w:hAnsi="Times New Roman"/>
                <w:sz w:val="11"/>
                <w:szCs w:val="11"/>
                <w:b w:val="1"/>
                <w:bCs w:val="1"/>
                <w:color w:val="auto"/>
                <w:w w:val="91"/>
              </w:rPr>
              <w:t>June 30,</w:t>
            </w:r>
          </w:p>
        </w:tc>
        <w:tc>
          <w:tcPr>
            <w:tcW w:w="60" w:type="dxa"/>
            <w:vAlign w:val="bottom"/>
          </w:tcPr>
          <w:p>
            <w:pPr>
              <w:spacing w:after="0"/>
              <w:rPr>
                <w:sz w:val="10"/>
                <w:szCs w:val="10"/>
                <w:color w:val="auto"/>
              </w:rPr>
            </w:pP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w w:val="92"/>
              </w:rPr>
              <w:t>September 30, 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Pr>
          <w:p>
            <w:pPr>
              <w:spacing w:after="0"/>
              <w:rPr>
                <w:sz w:val="15"/>
                <w:szCs w:val="15"/>
                <w:color w:val="auto"/>
              </w:rPr>
            </w:pP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tcPr>
          <w:p>
            <w:pPr>
              <w:spacing w:after="0"/>
              <w:rPr>
                <w:sz w:val="15"/>
                <w:szCs w:val="15"/>
                <w:color w:val="auto"/>
              </w:rPr>
            </w:pPr>
          </w:p>
        </w:tc>
        <w:tc>
          <w:tcPr>
            <w:tcW w:w="500" w:type="dxa"/>
            <w:vAlign w:val="bottom"/>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w w:val="90"/>
              </w:rPr>
              <w:t>2022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5"/>
                <w:szCs w:val="15"/>
                <w:color w:val="auto"/>
              </w:rPr>
            </w:pPr>
          </w:p>
        </w:tc>
        <w:tc>
          <w:tcPr>
            <w:tcW w:w="460" w:type="dxa"/>
            <w:vAlign w:val="bottom"/>
          </w:tcPr>
          <w:p>
            <w:pPr>
              <w:jc w:val="center"/>
              <w:ind w:right="102"/>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Pr>
          <w:p>
            <w:pPr>
              <w:jc w:val="center"/>
              <w:ind w:right="7"/>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5"/>
                <w:szCs w:val="15"/>
                <w:color w:val="auto"/>
              </w:rPr>
            </w:pPr>
          </w:p>
        </w:tc>
        <w:tc>
          <w:tcPr>
            <w:tcW w:w="520" w:type="dxa"/>
            <w:vAlign w:val="bottom"/>
          </w:tcPr>
          <w:p>
            <w:pPr>
              <w:jc w:val="right"/>
              <w:ind w:right="16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5"/>
                <w:szCs w:val="15"/>
                <w:color w:val="auto"/>
              </w:rPr>
            </w:pPr>
          </w:p>
        </w:tc>
        <w:tc>
          <w:tcPr>
            <w:tcW w:w="50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1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jc w:val="center"/>
              <w:ind w:right="4"/>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5"/>
                <w:szCs w:val="15"/>
                <w:color w:val="auto"/>
              </w:rPr>
            </w:pPr>
          </w:p>
        </w:tc>
        <w:tc>
          <w:tcPr>
            <w:tcW w:w="520" w:type="dxa"/>
            <w:vAlign w:val="bottom"/>
          </w:tcPr>
          <w:p>
            <w:pPr>
              <w:jc w:val="right"/>
              <w:ind w:right="16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right"/>
              <w:ind w:right="142"/>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RMB</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RMB</w:t>
            </w:r>
          </w:p>
        </w:tc>
        <w:tc>
          <w:tcPr>
            <w:tcW w:w="20" w:type="dxa"/>
            <w:vAlign w:val="bottom"/>
          </w:tcPr>
          <w:p>
            <w:pPr>
              <w:spacing w:after="0"/>
              <w:rPr>
                <w:sz w:val="15"/>
                <w:szCs w:val="15"/>
                <w:color w:val="auto"/>
              </w:rPr>
            </w:pP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tcPr>
          <w:p>
            <w:pPr>
              <w:spacing w:after="0"/>
              <w:rPr>
                <w:sz w:val="15"/>
                <w:szCs w:val="15"/>
                <w:color w:val="auto"/>
              </w:rPr>
            </w:pPr>
          </w:p>
        </w:tc>
        <w:tc>
          <w:tcPr>
            <w:tcW w:w="500" w:type="dxa"/>
            <w:vAlign w:val="bottom"/>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w w:val="93"/>
              </w:rPr>
              <w:t>RMB</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5"/>
                <w:szCs w:val="15"/>
                <w:color w:val="auto"/>
              </w:rPr>
            </w:pPr>
          </w:p>
        </w:tc>
        <w:tc>
          <w:tcPr>
            <w:tcW w:w="460" w:type="dxa"/>
            <w:vAlign w:val="bottom"/>
          </w:tcPr>
          <w:p>
            <w:pPr>
              <w:jc w:val="center"/>
              <w:ind w:right="102"/>
              <w:spacing w:after="0"/>
              <w:rPr>
                <w:sz w:val="20"/>
                <w:szCs w:val="20"/>
                <w:color w:val="auto"/>
              </w:rPr>
            </w:pPr>
            <w:r>
              <w:rPr>
                <w:rFonts w:ascii="Times New Roman" w:cs="Times New Roman" w:eastAsia="Times New Roman" w:hAnsi="Times New Roman"/>
                <w:sz w:val="11"/>
                <w:szCs w:val="11"/>
                <w:b w:val="1"/>
                <w:bCs w:val="1"/>
                <w:color w:val="auto"/>
              </w:rPr>
              <w:t>RMB</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tcPr>
          <w:p>
            <w:pPr>
              <w:jc w:val="center"/>
              <w:ind w:right="7"/>
              <w:spacing w:after="0"/>
              <w:rPr>
                <w:sz w:val="20"/>
                <w:szCs w:val="20"/>
                <w:color w:val="auto"/>
              </w:rPr>
            </w:pPr>
            <w:r>
              <w:rPr>
                <w:rFonts w:ascii="Times New Roman" w:cs="Times New Roman" w:eastAsia="Times New Roman" w:hAnsi="Times New Roman"/>
                <w:sz w:val="11"/>
                <w:szCs w:val="11"/>
                <w:b w:val="1"/>
                <w:bCs w:val="1"/>
                <w:color w:val="auto"/>
                <w:w w:val="93"/>
              </w:rPr>
              <w:t>RMB</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5"/>
                <w:szCs w:val="15"/>
                <w:color w:val="auto"/>
              </w:rPr>
            </w:pPr>
          </w:p>
        </w:tc>
        <w:tc>
          <w:tcPr>
            <w:tcW w:w="520" w:type="dxa"/>
            <w:vAlign w:val="bottom"/>
          </w:tcPr>
          <w:p>
            <w:pPr>
              <w:jc w:val="right"/>
              <w:ind w:right="142"/>
              <w:spacing w:after="0"/>
              <w:rPr>
                <w:sz w:val="20"/>
                <w:szCs w:val="20"/>
                <w:color w:val="auto"/>
              </w:rPr>
            </w:pPr>
            <w:r>
              <w:rPr>
                <w:rFonts w:ascii="Times New Roman" w:cs="Times New Roman" w:eastAsia="Times New Roman" w:hAnsi="Times New Roman"/>
                <w:sz w:val="11"/>
                <w:szCs w:val="11"/>
                <w:b w:val="1"/>
                <w:bCs w:val="1"/>
                <w:color w:val="auto"/>
              </w:rPr>
              <w:t>RMB</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5"/>
                <w:szCs w:val="15"/>
                <w:color w:val="auto"/>
              </w:rPr>
            </w:pPr>
          </w:p>
        </w:tc>
        <w:tc>
          <w:tcPr>
            <w:tcW w:w="50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RMB</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RMB</w:t>
            </w:r>
          </w:p>
        </w:tc>
        <w:tc>
          <w:tcPr>
            <w:tcW w:w="1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RMB</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5"/>
                <w:szCs w:val="15"/>
                <w:color w:val="auto"/>
              </w:rPr>
            </w:pPr>
          </w:p>
        </w:tc>
        <w:tc>
          <w:tcPr>
            <w:tcW w:w="520" w:type="dxa"/>
            <w:vAlign w:val="bottom"/>
          </w:tcPr>
          <w:p>
            <w:pPr>
              <w:jc w:val="right"/>
              <w:ind w:right="142"/>
              <w:spacing w:after="0"/>
              <w:rPr>
                <w:sz w:val="20"/>
                <w:szCs w:val="20"/>
                <w:color w:val="auto"/>
              </w:rPr>
            </w:pPr>
            <w:r>
              <w:rPr>
                <w:rFonts w:ascii="Times New Roman" w:cs="Times New Roman" w:eastAsia="Times New Roman" w:hAnsi="Times New Roman"/>
                <w:sz w:val="11"/>
                <w:szCs w:val="11"/>
                <w:b w:val="1"/>
                <w:bCs w:val="1"/>
                <w:color w:val="auto"/>
              </w:rPr>
              <w:t>RMB</w:t>
            </w:r>
          </w:p>
        </w:tc>
        <w:tc>
          <w:tcPr>
            <w:tcW w:w="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right"/>
              <w:ind w:right="122"/>
              <w:spacing w:after="0"/>
              <w:rPr>
                <w:sz w:val="20"/>
                <w:szCs w:val="20"/>
                <w:color w:val="auto"/>
              </w:rPr>
            </w:pPr>
            <w:r>
              <w:rPr>
                <w:rFonts w:ascii="Times New Roman" w:cs="Times New Roman" w:eastAsia="Times New Roman" w:hAnsi="Times New Roman"/>
                <w:sz w:val="11"/>
                <w:szCs w:val="11"/>
                <w:b w:val="1"/>
                <w:bCs w:val="1"/>
                <w:color w:val="auto"/>
              </w:rPr>
              <w:t>RMB</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1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6"/>
        </w:trPr>
        <w:tc>
          <w:tcPr>
            <w:tcW w:w="11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revenues from</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00" w:type="dxa"/>
            <w:vAlign w:val="bottom"/>
            <w:gridSpan w:val="2"/>
            <w:shd w:val="clear" w:color="auto" w:fill="CCEEFF"/>
          </w:tcPr>
          <w:p>
            <w:pPr>
              <w:ind w:left="120"/>
              <w:spacing w:after="0" w:line="170" w:lineRule="exact"/>
              <w:rPr>
                <w:sz w:val="20"/>
                <w:szCs w:val="20"/>
                <w:color w:val="auto"/>
              </w:rPr>
            </w:pPr>
            <w:r>
              <w:rPr>
                <w:rFonts w:ascii="Times New Roman" w:cs="Times New Roman" w:eastAsia="Times New Roman" w:hAnsi="Times New Roman"/>
                <w:sz w:val="10"/>
                <w:szCs w:val="10"/>
                <w:color w:val="auto"/>
              </w:rPr>
              <w:t>franchised teahouses</w:t>
            </w:r>
            <w:r>
              <w:rPr>
                <w:rFonts w:ascii="Times New Roman" w:cs="Times New Roman" w:eastAsia="Times New Roman" w:hAnsi="Times New Roman"/>
                <w:sz w:val="19"/>
                <w:szCs w:val="19"/>
                <w:color w:val="auto"/>
                <w:vertAlign w:val="subscript"/>
              </w:rPr>
              <w:t>​​</w:t>
            </w:r>
          </w:p>
        </w:tc>
        <w:tc>
          <w:tcPr>
            <w:tcW w:w="480" w:type="dxa"/>
            <w:vAlign w:val="bottom"/>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0"/>
                <w:szCs w:val="10"/>
                <w:color w:val="auto"/>
              </w:rPr>
              <w:t xml:space="preserve">45,033 </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color w:val="auto"/>
              </w:rPr>
              <w:t>​</w:t>
            </w:r>
          </w:p>
        </w:tc>
        <w:tc>
          <w:tcPr>
            <w:tcW w:w="460" w:type="dxa"/>
            <w:vAlign w:val="bottom"/>
            <w:gridSpan w:val="3"/>
            <w:shd w:val="clear" w:color="auto" w:fill="CCEEFF"/>
          </w:tcPr>
          <w:p>
            <w:pPr>
              <w:jc w:val="right"/>
              <w:ind w:right="51"/>
              <w:spacing w:after="0" w:line="170" w:lineRule="exact"/>
              <w:rPr>
                <w:sz w:val="20"/>
                <w:szCs w:val="20"/>
                <w:color w:val="auto"/>
              </w:rPr>
            </w:pPr>
            <w:r>
              <w:rPr>
                <w:rFonts w:ascii="Times New Roman" w:cs="Times New Roman" w:eastAsia="Times New Roman" w:hAnsi="Times New Roman"/>
                <w:sz w:val="10"/>
                <w:szCs w:val="10"/>
                <w:color w:val="auto"/>
              </w:rPr>
              <w:t>57,732</w:t>
            </w:r>
            <w:r>
              <w:rPr>
                <w:rFonts w:ascii="Times New Roman" w:cs="Times New Roman" w:eastAsia="Times New Roman" w:hAnsi="Times New Roman"/>
                <w:sz w:val="19"/>
                <w:szCs w:val="19"/>
                <w:b w:val="1"/>
                <w:bCs w:val="1"/>
                <w:color w:val="auto"/>
                <w:vertAlign w:val="subscript"/>
              </w:rPr>
              <w:t>​</w:t>
            </w:r>
          </w:p>
        </w:tc>
        <w:tc>
          <w:tcPr>
            <w:tcW w:w="600" w:type="dxa"/>
            <w:vAlign w:val="bottom"/>
            <w:tcBorders>
              <w:right w:val="single" w:sz="8" w:color="CCEEFF"/>
            </w:tcBorders>
            <w:gridSpan w:val="2"/>
            <w:shd w:val="clear" w:color="auto" w:fill="CCEEFF"/>
          </w:tcPr>
          <w:p>
            <w:pPr>
              <w:jc w:val="right"/>
              <w:ind w:right="63"/>
              <w:spacing w:after="0" w:line="170"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121,356</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42"/>
              <w:spacing w:after="0" w:line="170"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186,140</w:t>
            </w:r>
          </w:p>
        </w:tc>
        <w:tc>
          <w:tcPr>
            <w:tcW w:w="1680" w:type="dxa"/>
            <w:vAlign w:val="bottom"/>
            <w:tcBorders>
              <w:right w:val="single" w:sz="8" w:color="CCEEFF"/>
            </w:tcBorders>
            <w:gridSpan w:val="9"/>
            <w:shd w:val="clear" w:color="auto" w:fill="CCEEFF"/>
          </w:tcPr>
          <w:p>
            <w:pPr>
              <w:jc w:val="right"/>
              <w:ind w:right="22"/>
              <w:spacing w:after="0" w:line="170"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376,680 </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682,494</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1,370,224</w:t>
            </w:r>
          </w:p>
        </w:tc>
        <w:tc>
          <w:tcPr>
            <w:tcW w:w="660" w:type="dxa"/>
            <w:vAlign w:val="bottom"/>
            <w:gridSpan w:val="3"/>
            <w:shd w:val="clear" w:color="auto" w:fill="CCEEFF"/>
          </w:tcPr>
          <w:p>
            <w:pPr>
              <w:jc w:val="right"/>
              <w:ind w:right="3"/>
              <w:spacing w:after="0" w:line="170"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1,966,510</w:t>
            </w:r>
          </w:p>
        </w:tc>
        <w:tc>
          <w:tcPr>
            <w:tcW w:w="1800" w:type="dxa"/>
            <w:vAlign w:val="bottom"/>
            <w:tcBorders>
              <w:right w:val="single" w:sz="8" w:color="CCEEFF"/>
            </w:tcBorders>
            <w:gridSpan w:val="9"/>
            <w:shd w:val="clear" w:color="auto" w:fill="CCEEFF"/>
          </w:tcPr>
          <w:p>
            <w:pPr>
              <w:jc w:val="right"/>
              <w:ind w:right="22"/>
              <w:spacing w:after="0" w:line="170"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2,389,684</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2,847,801</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3,299,023</w:t>
            </w:r>
          </w:p>
        </w:tc>
        <w:tc>
          <w:tcPr>
            <w:tcW w:w="660" w:type="dxa"/>
            <w:vAlign w:val="bottom"/>
            <w:tcBorders>
              <w:right w:val="single" w:sz="8" w:color="CCEEFF"/>
            </w:tcBorders>
            <w:gridSpan w:val="3"/>
            <w:shd w:val="clear" w:color="auto" w:fill="CCEEFF"/>
          </w:tcPr>
          <w:p>
            <w:pPr>
              <w:jc w:val="right"/>
              <w:ind w:right="2"/>
              <w:spacing w:after="0" w:line="170"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3,095,866</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7"/>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Net revenues from</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company-owned</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teahouses</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0"/>
                <w:szCs w:val="10"/>
                <w:color w:val="auto"/>
              </w:rPr>
              <w:t xml:space="preserve">9,790 </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color w:val="auto"/>
              </w:rPr>
              <w:t>​</w:t>
            </w:r>
          </w:p>
        </w:tc>
        <w:tc>
          <w:tcPr>
            <w:tcW w:w="460" w:type="dxa"/>
            <w:vAlign w:val="bottom"/>
            <w:gridSpan w:val="3"/>
          </w:tcPr>
          <w:p>
            <w:pPr>
              <w:jc w:val="right"/>
              <w:ind w:right="51"/>
              <w:spacing w:after="0" w:line="170" w:lineRule="exact"/>
              <w:rPr>
                <w:sz w:val="20"/>
                <w:szCs w:val="20"/>
                <w:color w:val="auto"/>
              </w:rPr>
            </w:pPr>
            <w:r>
              <w:rPr>
                <w:rFonts w:ascii="Times New Roman" w:cs="Times New Roman" w:eastAsia="Times New Roman" w:hAnsi="Times New Roman"/>
                <w:sz w:val="10"/>
                <w:szCs w:val="10"/>
                <w:color w:val="auto"/>
              </w:rPr>
              <w:t>16,158</w:t>
            </w:r>
            <w:r>
              <w:rPr>
                <w:rFonts w:ascii="Times New Roman" w:cs="Times New Roman" w:eastAsia="Times New Roman" w:hAnsi="Times New Roman"/>
                <w:sz w:val="19"/>
                <w:szCs w:val="19"/>
                <w:b w:val="1"/>
                <w:bCs w:val="1"/>
                <w:color w:val="auto"/>
                <w:vertAlign w:val="subscript"/>
              </w:rPr>
              <w:t>​</w:t>
            </w:r>
          </w:p>
        </w:tc>
        <w:tc>
          <w:tcPr>
            <w:tcW w:w="100" w:type="dxa"/>
            <w:vAlign w:val="bottom"/>
          </w:tcPr>
          <w:p>
            <w:pPr>
              <w:ind w:left="40"/>
              <w:spacing w:after="0" w:line="17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50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25,951</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ind w:left="40"/>
              <w:spacing w:after="0" w:line="17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4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29,493</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3"/>
          </w:tcPr>
          <w:p>
            <w:pPr>
              <w:jc w:val="right"/>
              <w:spacing w:after="0" w:line="170" w:lineRule="exact"/>
              <w:rPr>
                <w:sz w:val="20"/>
                <w:szCs w:val="20"/>
                <w:color w:val="auto"/>
              </w:rPr>
            </w:pPr>
            <w:r>
              <w:rPr>
                <w:rFonts w:ascii="Times New Roman" w:cs="Times New Roman" w:eastAsia="Times New Roman" w:hAnsi="Times New Roman"/>
                <w:sz w:val="10"/>
                <w:szCs w:val="10"/>
                <w:color w:val="auto"/>
              </w:rPr>
              <w:t xml:space="preserve">40,347 </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540" w:type="dxa"/>
            <w:vAlign w:val="bottom"/>
            <w:gridSpan w:val="3"/>
          </w:tcPr>
          <w:p>
            <w:pPr>
              <w:jc w:val="right"/>
              <w:spacing w:after="0" w:line="170" w:lineRule="exact"/>
              <w:rPr>
                <w:sz w:val="20"/>
                <w:szCs w:val="20"/>
                <w:color w:val="auto"/>
              </w:rPr>
            </w:pPr>
            <w:r>
              <w:rPr>
                <w:rFonts w:ascii="Times New Roman" w:cs="Times New Roman" w:eastAsia="Times New Roman" w:hAnsi="Times New Roman"/>
                <w:sz w:val="10"/>
                <w:szCs w:val="10"/>
                <w:color w:val="auto"/>
              </w:rPr>
              <w:t>49,891</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bscript"/>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73,487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80,538</w:t>
            </w:r>
          </w:p>
        </w:tc>
        <w:tc>
          <w:tcPr>
            <w:tcW w:w="120" w:type="dxa"/>
            <w:vAlign w:val="bottom"/>
            <w:gridSpan w:val="2"/>
          </w:tcPr>
          <w:p>
            <w:pPr>
              <w:spacing w:after="0" w:line="17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520" w:type="dxa"/>
            <w:vAlign w:val="bottom"/>
            <w:gridSpan w:val="3"/>
          </w:tcPr>
          <w:p>
            <w:pPr>
              <w:jc w:val="right"/>
              <w:spacing w:after="0" w:line="170" w:lineRule="exact"/>
              <w:rPr>
                <w:sz w:val="20"/>
                <w:szCs w:val="20"/>
                <w:color w:val="auto"/>
              </w:rPr>
            </w:pPr>
            <w:r>
              <w:rPr>
                <w:rFonts w:ascii="Times New Roman" w:cs="Times New Roman" w:eastAsia="Times New Roman" w:hAnsi="Times New Roman"/>
                <w:sz w:val="10"/>
                <w:szCs w:val="10"/>
                <w:color w:val="auto"/>
              </w:rPr>
              <w:t>116,887</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640" w:type="dxa"/>
            <w:vAlign w:val="bottom"/>
            <w:gridSpan w:val="3"/>
          </w:tcPr>
          <w:p>
            <w:pPr>
              <w:jc w:val="right"/>
              <w:spacing w:after="0" w:line="170" w:lineRule="exact"/>
              <w:rPr>
                <w:sz w:val="20"/>
                <w:szCs w:val="20"/>
                <w:color w:val="auto"/>
              </w:rPr>
            </w:pPr>
            <w:r>
              <w:rPr>
                <w:rFonts w:ascii="Times New Roman" w:cs="Times New Roman" w:eastAsia="Times New Roman" w:hAnsi="Times New Roman"/>
                <w:sz w:val="10"/>
                <w:szCs w:val="10"/>
                <w:color w:val="auto"/>
              </w:rPr>
              <w:t>175,536</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bscript"/>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242,225</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238,560</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net revenues</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2"/>
                <w:szCs w:val="12"/>
                <w:b w:val="1"/>
                <w:bCs w:val="1"/>
                <w:color w:val="auto"/>
              </w:rPr>
              <w:t xml:space="preserve">54,823 </w:t>
            </w: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w:t>
            </w:r>
          </w:p>
        </w:tc>
        <w:tc>
          <w:tcPr>
            <w:tcW w:w="460" w:type="dxa"/>
            <w:vAlign w:val="bottom"/>
            <w:gridSpan w:val="3"/>
            <w:shd w:val="clear" w:color="auto" w:fill="CCEEFF"/>
          </w:tcPr>
          <w:p>
            <w:pPr>
              <w:jc w:val="right"/>
              <w:ind w:right="51"/>
              <w:spacing w:after="0" w:line="202" w:lineRule="exact"/>
              <w:rPr>
                <w:sz w:val="20"/>
                <w:szCs w:val="20"/>
                <w:color w:val="auto"/>
              </w:rPr>
            </w:pPr>
            <w:r>
              <w:rPr>
                <w:rFonts w:ascii="Times New Roman" w:cs="Times New Roman" w:eastAsia="Times New Roman" w:hAnsi="Times New Roman"/>
                <w:sz w:val="12"/>
                <w:szCs w:val="12"/>
                <w:b w:val="1"/>
                <w:bCs w:val="1"/>
                <w:color w:val="auto"/>
              </w:rPr>
              <w:t>73,890</w:t>
            </w:r>
            <w:r>
              <w:rPr>
                <w:rFonts w:ascii="Times New Roman" w:cs="Times New Roman" w:eastAsia="Times New Roman" w:hAnsi="Times New Roman"/>
                <w:sz w:val="23"/>
                <w:szCs w:val="23"/>
                <w:b w:val="1"/>
                <w:bCs w:val="1"/>
                <w:color w:val="auto"/>
                <w:vertAlign w:val="subscript"/>
              </w:rPr>
              <w:t>​</w:t>
            </w:r>
          </w:p>
        </w:tc>
        <w:tc>
          <w:tcPr>
            <w:tcW w:w="600" w:type="dxa"/>
            <w:vAlign w:val="bottom"/>
            <w:tcBorders>
              <w:right w:val="single" w:sz="8" w:color="CCEEFF"/>
            </w:tcBorders>
            <w:gridSpan w:val="2"/>
            <w:shd w:val="clear" w:color="auto" w:fill="CCEEFF"/>
          </w:tcPr>
          <w:p>
            <w:pPr>
              <w:jc w:val="right"/>
              <w:ind w:right="63"/>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147,307</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gridSpan w:val="2"/>
            <w:shd w:val="clear" w:color="auto" w:fill="CCEEFF"/>
          </w:tcPr>
          <w:p>
            <w:pPr>
              <w:jc w:val="right"/>
              <w:ind w:right="42"/>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215,633</w:t>
            </w:r>
          </w:p>
        </w:tc>
        <w:tc>
          <w:tcPr>
            <w:tcW w:w="1680" w:type="dxa"/>
            <w:vAlign w:val="bottom"/>
            <w:tcBorders>
              <w:right w:val="single" w:sz="8" w:color="CCEEFF"/>
            </w:tcBorders>
            <w:gridSpan w:val="9"/>
            <w:shd w:val="clear" w:color="auto" w:fill="CCEEFF"/>
          </w:tcPr>
          <w:p>
            <w:pPr>
              <w:jc w:val="right"/>
              <w:ind w:right="22"/>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417,027 </w:t>
            </w: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732,385</w:t>
            </w: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1,443,711</w:t>
            </w:r>
          </w:p>
        </w:tc>
        <w:tc>
          <w:tcPr>
            <w:tcW w:w="660" w:type="dxa"/>
            <w:vAlign w:val="bottom"/>
            <w:gridSpan w:val="3"/>
            <w:shd w:val="clear" w:color="auto" w:fill="CCEEFF"/>
          </w:tcPr>
          <w:p>
            <w:pPr>
              <w:jc w:val="right"/>
              <w:ind w:right="3"/>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2,047,048</w:t>
            </w:r>
          </w:p>
        </w:tc>
        <w:tc>
          <w:tcPr>
            <w:tcW w:w="1800" w:type="dxa"/>
            <w:vAlign w:val="bottom"/>
            <w:tcBorders>
              <w:right w:val="single" w:sz="8" w:color="CCEEFF"/>
            </w:tcBorders>
            <w:gridSpan w:val="9"/>
            <w:shd w:val="clear" w:color="auto" w:fill="CCEEFF"/>
          </w:tcPr>
          <w:p>
            <w:pPr>
              <w:jc w:val="right"/>
              <w:ind w:right="22"/>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2,506,571</w:t>
            </w: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3,023,337</w:t>
            </w: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3,541,248</w:t>
            </w:r>
          </w:p>
        </w:tc>
        <w:tc>
          <w:tcPr>
            <w:tcW w:w="660" w:type="dxa"/>
            <w:vAlign w:val="bottom"/>
            <w:tcBorders>
              <w:right w:val="single" w:sz="8" w:color="CCEEFF"/>
            </w:tcBorders>
            <w:gridSpan w:val="3"/>
            <w:shd w:val="clear" w:color="auto" w:fill="CCEEFF"/>
          </w:tcPr>
          <w:p>
            <w:pPr>
              <w:jc w:val="right"/>
              <w:ind w:right="2"/>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3,334,426</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Cost of materials</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5"/>
          </w:tcPr>
          <w:p>
            <w:pPr>
              <w:jc w:val="right"/>
              <w:ind w:right="51"/>
              <w:spacing w:after="0"/>
              <w:rPr>
                <w:sz w:val="20"/>
                <w:szCs w:val="20"/>
                <w:color w:val="auto"/>
              </w:rPr>
            </w:pPr>
            <w:r>
              <w:rPr>
                <w:rFonts w:ascii="Times New Roman" w:cs="Times New Roman" w:eastAsia="Times New Roman" w:hAnsi="Times New Roman"/>
                <w:sz w:val="12"/>
                <w:szCs w:val="12"/>
                <w:color w:val="auto"/>
              </w:rPr>
              <w:t>(36,673)​ (46,566)</w:t>
            </w:r>
          </w:p>
        </w:tc>
        <w:tc>
          <w:tcPr>
            <w:tcW w:w="600" w:type="dxa"/>
            <w:vAlign w:val="bottom"/>
            <w:gridSpan w:val="2"/>
          </w:tcPr>
          <w:p>
            <w:pPr>
              <w:jc w:val="right"/>
              <w:ind w:right="23"/>
              <w:spacing w:after="0"/>
              <w:rPr>
                <w:sz w:val="20"/>
                <w:szCs w:val="20"/>
                <w:color w:val="auto"/>
              </w:rPr>
            </w:pPr>
            <w:r>
              <w:rPr>
                <w:rFonts w:ascii="Times New Roman" w:cs="Times New Roman" w:eastAsia="Times New Roman" w:hAnsi="Times New Roman"/>
                <w:sz w:val="12"/>
                <w:szCs w:val="12"/>
                <w:color w:val="auto"/>
              </w:rPr>
              <w:t>​ (84,538)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​(123,453)</w:t>
            </w:r>
          </w:p>
        </w:tc>
        <w:tc>
          <w:tcPr>
            <w:tcW w:w="40" w:type="dxa"/>
            <w:vAlign w:val="bottom"/>
          </w:tcPr>
          <w:p>
            <w:pPr>
              <w:spacing w:after="0"/>
              <w:rPr>
                <w:sz w:val="12"/>
                <w:szCs w:val="12"/>
                <w:color w:val="auto"/>
              </w:rPr>
            </w:pPr>
          </w:p>
        </w:tc>
        <w:tc>
          <w:tcPr>
            <w:tcW w:w="1040" w:type="dxa"/>
            <w:vAlign w:val="bottom"/>
            <w:gridSpan w:val="6"/>
          </w:tcPr>
          <w:p>
            <w:pPr>
              <w:jc w:val="right"/>
              <w:spacing w:after="0"/>
              <w:rPr>
                <w:sz w:val="20"/>
                <w:szCs w:val="20"/>
                <w:color w:val="auto"/>
              </w:rPr>
            </w:pPr>
            <w:r>
              <w:rPr>
                <w:rFonts w:ascii="Times New Roman" w:cs="Times New Roman" w:eastAsia="Times New Roman" w:hAnsi="Times New Roman"/>
                <w:sz w:val="12"/>
                <w:szCs w:val="12"/>
                <w:color w:val="auto"/>
              </w:rPr>
              <w:t>(229,122) ​(403,068)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(758,349)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6"/>
              </w:rPr>
              <w:t>(1,071,848)</w:t>
            </w:r>
          </w:p>
        </w:tc>
        <w:tc>
          <w:tcPr>
            <w:tcW w:w="40" w:type="dxa"/>
            <w:vAlign w:val="bottom"/>
          </w:tcPr>
          <w:p>
            <w:pPr>
              <w:spacing w:after="0"/>
              <w:rPr>
                <w:sz w:val="12"/>
                <w:szCs w:val="12"/>
                <w:color w:val="auto"/>
              </w:rPr>
            </w:pP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2"/>
                <w:szCs w:val="12"/>
                <w:color w:val="auto"/>
                <w:w w:val="98"/>
              </w:rPr>
              <w:t>​(1,267,822)​(1,499,190)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(1,698,050)</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(1,547,860)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54"/>
        </w:trPr>
        <w:tc>
          <w:tcPr>
            <w:tcW w:w="11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 w:type="dxa"/>
            <w:vAlign w:val="bottom"/>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60" w:type="dxa"/>
            <w:vAlign w:val="bottom"/>
          </w:tcPr>
          <w:p>
            <w:pPr>
              <w:spacing w:after="0"/>
              <w:rPr>
                <w:sz w:val="4"/>
                <w:szCs w:val="4"/>
                <w:color w:val="auto"/>
              </w:rPr>
            </w:pPr>
          </w:p>
        </w:tc>
        <w:tc>
          <w:tcPr>
            <w:tcW w:w="1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400" w:type="dxa"/>
            <w:vAlign w:val="bottom"/>
          </w:tcPr>
          <w:p>
            <w:pPr>
              <w:spacing w:after="0"/>
              <w:rPr>
                <w:sz w:val="4"/>
                <w:szCs w:val="4"/>
                <w:color w:val="auto"/>
              </w:rPr>
            </w:pPr>
          </w:p>
        </w:tc>
        <w:tc>
          <w:tcPr>
            <w:tcW w:w="10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80" w:type="dxa"/>
            <w:vAlign w:val="bottom"/>
          </w:tcPr>
          <w:p>
            <w:pPr>
              <w:spacing w:after="0"/>
              <w:rPr>
                <w:sz w:val="4"/>
                <w:szCs w:val="4"/>
                <w:color w:val="auto"/>
              </w:rPr>
            </w:pPr>
          </w:p>
        </w:tc>
        <w:tc>
          <w:tcPr>
            <w:tcW w:w="8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r>
              <w:rPr>
                <w:rFonts w:ascii="Times New Roman" w:cs="Times New Roman" w:eastAsia="Times New Roman" w:hAnsi="Times New Roman"/>
                <w:sz w:val="6"/>
                <w:szCs w:val="6"/>
                <w:color w:val="auto"/>
              </w:rPr>
              <w:t>​</w:t>
            </w:r>
          </w:p>
        </w:tc>
        <w:tc>
          <w:tcPr>
            <w:tcW w:w="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8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1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r>
              <w:rPr>
                <w:rFonts w:ascii="Times New Roman" w:cs="Times New Roman" w:eastAsia="Times New Roman" w:hAnsi="Times New Roman"/>
                <w:sz w:val="6"/>
                <w:szCs w:val="6"/>
                <w:color w:val="auto"/>
              </w:rPr>
              <w:t>​​</w:t>
            </w:r>
          </w:p>
        </w:tc>
        <w:tc>
          <w:tcPr>
            <w:tcW w:w="48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r>
              <w:rPr>
                <w:rFonts w:ascii="Times New Roman" w:cs="Times New Roman" w:eastAsia="Times New Roman" w:hAnsi="Times New Roman"/>
                <w:sz w:val="6"/>
                <w:szCs w:val="6"/>
                <w:color w:val="auto"/>
              </w:rPr>
              <w:t>​</w:t>
            </w:r>
          </w:p>
        </w:tc>
        <w:tc>
          <w:tcPr>
            <w:tcW w:w="10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tcPr>
          <w:p>
            <w:pPr>
              <w:spacing w:after="0"/>
              <w:rPr>
                <w:sz w:val="4"/>
                <w:szCs w:val="4"/>
                <w:color w:val="auto"/>
              </w:rPr>
            </w:pPr>
          </w:p>
        </w:tc>
        <w:tc>
          <w:tcPr>
            <w:tcW w:w="14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Company-owned</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teahouse operating</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12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2"/>
                <w:szCs w:val="12"/>
                <w:color w:val="auto"/>
              </w:rPr>
              <w:t>costs</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5"/>
            <w:shd w:val="clear" w:color="auto" w:fill="CCEEFF"/>
          </w:tcPr>
          <w:p>
            <w:pPr>
              <w:jc w:val="right"/>
              <w:ind w:right="51"/>
              <w:spacing w:after="0" w:line="117" w:lineRule="exact"/>
              <w:rPr>
                <w:sz w:val="20"/>
                <w:szCs w:val="20"/>
                <w:color w:val="auto"/>
              </w:rPr>
            </w:pPr>
            <w:r>
              <w:rPr>
                <w:rFonts w:ascii="Times New Roman" w:cs="Times New Roman" w:eastAsia="Times New Roman" w:hAnsi="Times New Roman"/>
                <w:sz w:val="12"/>
                <w:szCs w:val="12"/>
                <w:color w:val="auto"/>
              </w:rPr>
              <w:t>(8,583)​ (12,176)</w:t>
            </w:r>
          </w:p>
        </w:tc>
        <w:tc>
          <w:tcPr>
            <w:tcW w:w="600" w:type="dxa"/>
            <w:vAlign w:val="bottom"/>
            <w:tcBorders>
              <w:right w:val="single" w:sz="8" w:color="CCEEFF"/>
            </w:tcBorders>
            <w:gridSpan w:val="2"/>
            <w:shd w:val="clear" w:color="auto" w:fill="CCEEFF"/>
          </w:tcPr>
          <w:p>
            <w:pPr>
              <w:jc w:val="right"/>
              <w:ind w:right="23"/>
              <w:spacing w:after="0" w:line="117" w:lineRule="exact"/>
              <w:rPr>
                <w:sz w:val="20"/>
                <w:szCs w:val="20"/>
                <w:color w:val="auto"/>
              </w:rPr>
            </w:pPr>
            <w:r>
              <w:rPr>
                <w:rFonts w:ascii="Times New Roman" w:cs="Times New Roman" w:eastAsia="Times New Roman" w:hAnsi="Times New Roman"/>
                <w:sz w:val="12"/>
                <w:szCs w:val="12"/>
                <w:color w:val="auto"/>
              </w:rPr>
              <w:t>​ (16,463)</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2"/>
              <w:spacing w:after="0" w:line="117" w:lineRule="exact"/>
              <w:rPr>
                <w:sz w:val="20"/>
                <w:szCs w:val="20"/>
                <w:color w:val="auto"/>
              </w:rPr>
            </w:pPr>
            <w:r>
              <w:rPr>
                <w:rFonts w:ascii="Times New Roman" w:cs="Times New Roman" w:eastAsia="Times New Roman" w:hAnsi="Times New Roman"/>
                <w:sz w:val="12"/>
                <w:szCs w:val="12"/>
                <w:color w:val="auto"/>
              </w:rPr>
              <w:t>​ (17,679)</w:t>
            </w:r>
          </w:p>
        </w:tc>
        <w:tc>
          <w:tcPr>
            <w:tcW w:w="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right w:val="single" w:sz="8" w:color="CCEEFF"/>
            </w:tcBorders>
            <w:gridSpan w:val="5"/>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(17,089) ​ (21,711)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(28,997)</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(38,582)</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CCEEFF"/>
            </w:tcBorders>
            <w:gridSpan w:val="3"/>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(58,166)​</w:t>
            </w:r>
          </w:p>
        </w:tc>
        <w:tc>
          <w:tcPr>
            <w:tcW w:w="540" w:type="dxa"/>
            <w:vAlign w:val="bottom"/>
            <w:tcBorders>
              <w:right w:val="single" w:sz="8" w:color="CCEEFF"/>
            </w:tcBorders>
            <w:gridSpan w:val="2"/>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(106,531)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7"/>
              </w:rPr>
              <w:t>(139,377)</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tcBorders>
              <w:right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(163,246)</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54"/>
        </w:trPr>
        <w:tc>
          <w:tcPr>
            <w:tcW w:w="112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20" w:type="dxa"/>
            <w:vAlign w:val="bottom"/>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Borders>
              <w:right w:val="single" w:sz="8" w:color="CCEEFF"/>
            </w:tcBorders>
            <w:shd w:val="clear" w:color="auto" w:fill="CCEEFF"/>
          </w:tcPr>
          <w:p>
            <w:pPr>
              <w:spacing w:after="0"/>
              <w:rPr>
                <w:sz w:val="4"/>
                <w:szCs w:val="4"/>
                <w:color w:val="auto"/>
              </w:rPr>
            </w:pPr>
          </w:p>
        </w:tc>
        <w:tc>
          <w:tcPr>
            <w:tcW w:w="8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60" w:type="dxa"/>
            <w:vAlign w:val="bottom"/>
            <w:shd w:val="clear" w:color="auto" w:fill="CCEEFF"/>
          </w:tcPr>
          <w:p>
            <w:pPr>
              <w:spacing w:after="0"/>
              <w:rPr>
                <w:sz w:val="4"/>
                <w:szCs w:val="4"/>
                <w:color w:val="auto"/>
              </w:rPr>
            </w:pPr>
          </w:p>
        </w:tc>
        <w:tc>
          <w:tcPr>
            <w:tcW w:w="120" w:type="dxa"/>
            <w:vAlign w:val="bottom"/>
            <w:gridSpan w:val="2"/>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0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80" w:type="dxa"/>
            <w:vAlign w:val="bottom"/>
            <w:shd w:val="clear" w:color="auto" w:fill="CCEEFF"/>
          </w:tcPr>
          <w:p>
            <w:pPr>
              <w:spacing w:after="0"/>
              <w:rPr>
                <w:sz w:val="4"/>
                <w:szCs w:val="4"/>
                <w:color w:val="auto"/>
              </w:rPr>
            </w:pPr>
          </w:p>
        </w:tc>
        <w:tc>
          <w:tcPr>
            <w:tcW w:w="8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r>
              <w:rPr>
                <w:rFonts w:ascii="Times New Roman" w:cs="Times New Roman" w:eastAsia="Times New Roman" w:hAnsi="Times New Roman"/>
                <w:sz w:val="6"/>
                <w:szCs w:val="6"/>
                <w:color w:val="auto"/>
              </w:rPr>
              <w:t>​</w:t>
            </w:r>
          </w:p>
        </w:tc>
        <w:tc>
          <w:tcPr>
            <w:tcW w:w="80" w:type="dxa"/>
            <w:vAlign w:val="bottom"/>
            <w:vMerge w:val="continue"/>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8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tcBorders>
              <w:right w:val="single" w:sz="8" w:color="CCEEFF"/>
            </w:tcBorders>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r>
              <w:rPr>
                <w:rFonts w:ascii="Times New Roman" w:cs="Times New Roman" w:eastAsia="Times New Roman" w:hAnsi="Times New Roman"/>
                <w:sz w:val="6"/>
                <w:szCs w:val="6"/>
                <w:color w:val="auto"/>
              </w:rPr>
              <w:t>​​</w:t>
            </w:r>
          </w:p>
        </w:tc>
        <w:tc>
          <w:tcPr>
            <w:tcW w:w="480" w:type="dxa"/>
            <w:vAlign w:val="bottom"/>
            <w:shd w:val="clear" w:color="auto" w:fill="CCEEFF"/>
          </w:tcPr>
          <w:p>
            <w:pPr>
              <w:spacing w:after="0"/>
              <w:rPr>
                <w:sz w:val="4"/>
                <w:szCs w:val="4"/>
                <w:color w:val="auto"/>
              </w:rPr>
            </w:pPr>
          </w:p>
        </w:tc>
        <w:tc>
          <w:tcPr>
            <w:tcW w:w="6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r>
              <w:rPr>
                <w:rFonts w:ascii="Times New Roman" w:cs="Times New Roman" w:eastAsia="Times New Roman" w:hAnsi="Times New Roman"/>
                <w:sz w:val="6"/>
                <w:szCs w:val="6"/>
                <w:color w:val="auto"/>
              </w:rPr>
              <w:t>​</w:t>
            </w:r>
          </w:p>
        </w:tc>
        <w:tc>
          <w:tcPr>
            <w:tcW w:w="100" w:type="dxa"/>
            <w:vAlign w:val="bottom"/>
            <w:vMerge w:val="continue"/>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Storage and logistics</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120" w:type="dxa"/>
            <w:vAlign w:val="bottom"/>
          </w:tcPr>
          <w:p>
            <w:pPr>
              <w:ind w:left="120"/>
              <w:spacing w:after="0" w:line="117" w:lineRule="exact"/>
              <w:rPr>
                <w:sz w:val="20"/>
                <w:szCs w:val="20"/>
                <w:color w:val="auto"/>
              </w:rPr>
            </w:pPr>
            <w:r>
              <w:rPr>
                <w:rFonts w:ascii="Times New Roman" w:cs="Times New Roman" w:eastAsia="Times New Roman" w:hAnsi="Times New Roman"/>
                <w:sz w:val="12"/>
                <w:szCs w:val="12"/>
                <w:color w:val="auto"/>
              </w:rPr>
              <w:t>costs</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2"/>
                <w:szCs w:val="12"/>
                <w:color w:val="auto"/>
              </w:rPr>
              <w:t>(2,128)​</w:t>
            </w:r>
          </w:p>
        </w:tc>
        <w:tc>
          <w:tcPr>
            <w:tcW w:w="460" w:type="dxa"/>
            <w:vAlign w:val="bottom"/>
            <w:gridSpan w:val="3"/>
          </w:tcPr>
          <w:p>
            <w:pPr>
              <w:jc w:val="right"/>
              <w:ind w:right="51"/>
              <w:spacing w:after="0" w:line="117" w:lineRule="exact"/>
              <w:rPr>
                <w:sz w:val="20"/>
                <w:szCs w:val="20"/>
                <w:color w:val="auto"/>
              </w:rPr>
            </w:pPr>
            <w:r>
              <w:rPr>
                <w:rFonts w:ascii="Times New Roman" w:cs="Times New Roman" w:eastAsia="Times New Roman" w:hAnsi="Times New Roman"/>
                <w:sz w:val="12"/>
                <w:szCs w:val="12"/>
                <w:color w:val="auto"/>
              </w:rPr>
              <w:t>(2,056)</w:t>
            </w:r>
          </w:p>
        </w:tc>
        <w:tc>
          <w:tcPr>
            <w:tcW w:w="100" w:type="dxa"/>
            <w:vAlign w:val="bottom"/>
          </w:tcPr>
          <w:p>
            <w:pPr>
              <w:ind w:left="40"/>
              <w:spacing w:after="0" w:line="117"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ind w:right="23"/>
              <w:spacing w:after="0" w:line="117" w:lineRule="exact"/>
              <w:rPr>
                <w:sz w:val="20"/>
                <w:szCs w:val="20"/>
                <w:color w:val="auto"/>
              </w:rPr>
            </w:pPr>
            <w:r>
              <w:rPr>
                <w:rFonts w:ascii="Times New Roman" w:cs="Times New Roman" w:eastAsia="Times New Roman" w:hAnsi="Times New Roman"/>
                <w:sz w:val="12"/>
                <w:szCs w:val="12"/>
                <w:color w:val="auto"/>
              </w:rPr>
              <w:t>(3,467)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ind w:left="60"/>
              <w:spacing w:after="0" w:line="117"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ind w:right="2"/>
              <w:spacing w:after="0" w:line="117" w:lineRule="exact"/>
              <w:rPr>
                <w:sz w:val="20"/>
                <w:szCs w:val="20"/>
                <w:color w:val="auto"/>
              </w:rPr>
            </w:pPr>
            <w:r>
              <w:rPr>
                <w:rFonts w:ascii="Times New Roman" w:cs="Times New Roman" w:eastAsia="Times New Roman" w:hAnsi="Times New Roman"/>
                <w:sz w:val="12"/>
                <w:szCs w:val="12"/>
                <w:color w:val="auto"/>
              </w:rPr>
              <w:t>(4,802)</w:t>
            </w: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5"/>
          </w:tcPr>
          <w:p>
            <w:pPr>
              <w:jc w:val="right"/>
              <w:spacing w:after="0" w:line="117" w:lineRule="exact"/>
              <w:rPr>
                <w:sz w:val="20"/>
                <w:szCs w:val="20"/>
                <w:color w:val="auto"/>
              </w:rPr>
            </w:pPr>
            <w:r>
              <w:rPr>
                <w:rFonts w:ascii="Times New Roman" w:cs="Times New Roman" w:eastAsia="Times New Roman" w:hAnsi="Times New Roman"/>
                <w:sz w:val="12"/>
                <w:szCs w:val="12"/>
                <w:color w:val="auto"/>
              </w:rPr>
              <w:t>(9,868) ​ (16,352)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(28,962)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(44,685)</w:t>
            </w:r>
          </w:p>
        </w:tc>
        <w:tc>
          <w:tcPr>
            <w:tcW w:w="40" w:type="dxa"/>
            <w:vAlign w:val="bottom"/>
          </w:tcPr>
          <w:p>
            <w:pPr>
              <w:spacing w:after="0"/>
              <w:rPr>
                <w:sz w:val="10"/>
                <w:szCs w:val="10"/>
                <w:color w:val="auto"/>
              </w:rPr>
            </w:pPr>
          </w:p>
        </w:tc>
        <w:tc>
          <w:tcPr>
            <w:tcW w:w="8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2"/>
                <w:szCs w:val="12"/>
                <w:color w:val="auto"/>
              </w:rPr>
              <w:t>(48,418)​</w:t>
            </w:r>
          </w:p>
        </w:tc>
        <w:tc>
          <w:tcPr>
            <w:tcW w:w="5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2"/>
                <w:szCs w:val="12"/>
                <w:color w:val="auto"/>
              </w:rPr>
              <w:t>(61,639)</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(67,282)</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(66,483)</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54"/>
        </w:trPr>
        <w:tc>
          <w:tcPr>
            <w:tcW w:w="11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 w:type="dxa"/>
            <w:vAlign w:val="bottom"/>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6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80" w:type="dxa"/>
            <w:vAlign w:val="bottom"/>
          </w:tcPr>
          <w:p>
            <w:pPr>
              <w:spacing w:after="0"/>
              <w:rPr>
                <w:sz w:val="4"/>
                <w:szCs w:val="4"/>
                <w:color w:val="auto"/>
              </w:rPr>
            </w:pPr>
          </w:p>
        </w:tc>
        <w:tc>
          <w:tcPr>
            <w:tcW w:w="8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r>
              <w:rPr>
                <w:rFonts w:ascii="Times New Roman" w:cs="Times New Roman" w:eastAsia="Times New Roman" w:hAnsi="Times New Roman"/>
                <w:sz w:val="6"/>
                <w:szCs w:val="6"/>
                <w:color w:val="auto"/>
              </w:rPr>
              <w:t>​</w:t>
            </w:r>
          </w:p>
        </w:tc>
        <w:tc>
          <w:tcPr>
            <w:tcW w:w="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r>
              <w:rPr>
                <w:rFonts w:ascii="Times New Roman" w:cs="Times New Roman" w:eastAsia="Times New Roman" w:hAnsi="Times New Roman"/>
                <w:sz w:val="6"/>
                <w:szCs w:val="6"/>
                <w:color w:val="auto"/>
              </w:rPr>
              <w:t>​​</w:t>
            </w:r>
          </w:p>
        </w:tc>
        <w:tc>
          <w:tcPr>
            <w:tcW w:w="48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r>
              <w:rPr>
                <w:rFonts w:ascii="Times New Roman" w:cs="Times New Roman" w:eastAsia="Times New Roman" w:hAnsi="Times New Roman"/>
                <w:sz w:val="6"/>
                <w:szCs w:val="6"/>
                <w:color w:val="auto"/>
              </w:rPr>
              <w:t>​</w:t>
            </w:r>
          </w:p>
        </w:tc>
        <w:tc>
          <w:tcPr>
            <w:tcW w:w="1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operating</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12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2"/>
                <w:szCs w:val="12"/>
                <w:color w:val="auto"/>
              </w:rPr>
              <w:t>costs</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5"/>
            <w:shd w:val="clear" w:color="auto" w:fill="CCEEFF"/>
          </w:tcPr>
          <w:p>
            <w:pPr>
              <w:jc w:val="right"/>
              <w:ind w:right="51"/>
              <w:spacing w:after="0" w:line="117" w:lineRule="exact"/>
              <w:rPr>
                <w:sz w:val="20"/>
                <w:szCs w:val="20"/>
                <w:color w:val="auto"/>
              </w:rPr>
            </w:pPr>
            <w:r>
              <w:rPr>
                <w:rFonts w:ascii="Times New Roman" w:cs="Times New Roman" w:eastAsia="Times New Roman" w:hAnsi="Times New Roman"/>
                <w:sz w:val="12"/>
                <w:szCs w:val="12"/>
                <w:color w:val="auto"/>
              </w:rPr>
              <w:t>(16,460)​ (18,401)</w:t>
            </w:r>
          </w:p>
        </w:tc>
        <w:tc>
          <w:tcPr>
            <w:tcW w:w="600" w:type="dxa"/>
            <w:vAlign w:val="bottom"/>
            <w:tcBorders>
              <w:right w:val="single" w:sz="8" w:color="CCEEFF"/>
            </w:tcBorders>
            <w:gridSpan w:val="2"/>
            <w:shd w:val="clear" w:color="auto" w:fill="CCEEFF"/>
          </w:tcPr>
          <w:p>
            <w:pPr>
              <w:jc w:val="right"/>
              <w:ind w:right="23"/>
              <w:spacing w:after="0" w:line="117" w:lineRule="exact"/>
              <w:rPr>
                <w:sz w:val="20"/>
                <w:szCs w:val="20"/>
                <w:color w:val="auto"/>
              </w:rPr>
            </w:pPr>
            <w:r>
              <w:rPr>
                <w:rFonts w:ascii="Times New Roman" w:cs="Times New Roman" w:eastAsia="Times New Roman" w:hAnsi="Times New Roman"/>
                <w:sz w:val="12"/>
                <w:szCs w:val="12"/>
                <w:color w:val="auto"/>
              </w:rPr>
              <w:t>​ (18,319)</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2"/>
              <w:spacing w:after="0" w:line="117" w:lineRule="exact"/>
              <w:rPr>
                <w:sz w:val="20"/>
                <w:szCs w:val="20"/>
                <w:color w:val="auto"/>
              </w:rPr>
            </w:pPr>
            <w:r>
              <w:rPr>
                <w:rFonts w:ascii="Times New Roman" w:cs="Times New Roman" w:eastAsia="Times New Roman" w:hAnsi="Times New Roman"/>
                <w:sz w:val="12"/>
                <w:szCs w:val="12"/>
                <w:color w:val="auto"/>
              </w:rPr>
              <w:t>​ (22,595)</w:t>
            </w:r>
          </w:p>
        </w:tc>
        <w:tc>
          <w:tcPr>
            <w:tcW w:w="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right w:val="single" w:sz="8" w:color="CCEEFF"/>
            </w:tcBorders>
            <w:gridSpan w:val="5"/>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(28,784) ​ (44,252)</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(89,023)</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7"/>
              </w:rPr>
              <w:t>(110,714)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CCEEFF"/>
            </w:tcBorders>
            <w:gridSpan w:val="3"/>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(96,009)​</w:t>
            </w:r>
          </w:p>
        </w:tc>
        <w:tc>
          <w:tcPr>
            <w:tcW w:w="540" w:type="dxa"/>
            <w:vAlign w:val="bottom"/>
            <w:tcBorders>
              <w:right w:val="single" w:sz="8" w:color="CCEEFF"/>
            </w:tcBorders>
            <w:gridSpan w:val="2"/>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(127,529)</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7"/>
              </w:rPr>
              <w:t>(166,696)</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tcBorders>
              <w:right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(182,387)</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54"/>
        </w:trPr>
        <w:tc>
          <w:tcPr>
            <w:tcW w:w="112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20" w:type="dxa"/>
            <w:vAlign w:val="bottom"/>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Borders>
              <w:right w:val="single" w:sz="8" w:color="CCEEFF"/>
            </w:tcBorders>
            <w:shd w:val="clear" w:color="auto" w:fill="CCEEFF"/>
          </w:tcPr>
          <w:p>
            <w:pPr>
              <w:spacing w:after="0"/>
              <w:rPr>
                <w:sz w:val="4"/>
                <w:szCs w:val="4"/>
                <w:color w:val="auto"/>
              </w:rPr>
            </w:pPr>
          </w:p>
        </w:tc>
        <w:tc>
          <w:tcPr>
            <w:tcW w:w="8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60" w:type="dxa"/>
            <w:vAlign w:val="bottom"/>
            <w:shd w:val="clear" w:color="auto" w:fill="CCEEFF"/>
          </w:tcPr>
          <w:p>
            <w:pPr>
              <w:spacing w:after="0"/>
              <w:rPr>
                <w:sz w:val="4"/>
                <w:szCs w:val="4"/>
                <w:color w:val="auto"/>
              </w:rPr>
            </w:pPr>
          </w:p>
        </w:tc>
        <w:tc>
          <w:tcPr>
            <w:tcW w:w="120" w:type="dxa"/>
            <w:vAlign w:val="bottom"/>
            <w:gridSpan w:val="2"/>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0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80" w:type="dxa"/>
            <w:vAlign w:val="bottom"/>
            <w:shd w:val="clear" w:color="auto" w:fill="CCEEFF"/>
          </w:tcPr>
          <w:p>
            <w:pPr>
              <w:spacing w:after="0"/>
              <w:rPr>
                <w:sz w:val="4"/>
                <w:szCs w:val="4"/>
                <w:color w:val="auto"/>
              </w:rPr>
            </w:pPr>
          </w:p>
        </w:tc>
        <w:tc>
          <w:tcPr>
            <w:tcW w:w="8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r>
              <w:rPr>
                <w:rFonts w:ascii="Times New Roman" w:cs="Times New Roman" w:eastAsia="Times New Roman" w:hAnsi="Times New Roman"/>
                <w:sz w:val="6"/>
                <w:szCs w:val="6"/>
                <w:color w:val="auto"/>
              </w:rPr>
              <w:t>​</w:t>
            </w:r>
          </w:p>
        </w:tc>
        <w:tc>
          <w:tcPr>
            <w:tcW w:w="80" w:type="dxa"/>
            <w:vAlign w:val="bottom"/>
            <w:vMerge w:val="continue"/>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8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tcBorders>
              <w:right w:val="single" w:sz="8" w:color="CCEEFF"/>
            </w:tcBorders>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r>
              <w:rPr>
                <w:rFonts w:ascii="Times New Roman" w:cs="Times New Roman" w:eastAsia="Times New Roman" w:hAnsi="Times New Roman"/>
                <w:sz w:val="6"/>
                <w:szCs w:val="6"/>
                <w:color w:val="auto"/>
              </w:rPr>
              <w:t>​​</w:t>
            </w:r>
          </w:p>
        </w:tc>
        <w:tc>
          <w:tcPr>
            <w:tcW w:w="480" w:type="dxa"/>
            <w:vAlign w:val="bottom"/>
            <w:shd w:val="clear" w:color="auto" w:fill="CCEEFF"/>
          </w:tcPr>
          <w:p>
            <w:pPr>
              <w:spacing w:after="0"/>
              <w:rPr>
                <w:sz w:val="4"/>
                <w:szCs w:val="4"/>
                <w:color w:val="auto"/>
              </w:rPr>
            </w:pPr>
          </w:p>
        </w:tc>
        <w:tc>
          <w:tcPr>
            <w:tcW w:w="6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r>
              <w:rPr>
                <w:rFonts w:ascii="Times New Roman" w:cs="Times New Roman" w:eastAsia="Times New Roman" w:hAnsi="Times New Roman"/>
                <w:sz w:val="6"/>
                <w:szCs w:val="6"/>
                <w:color w:val="auto"/>
              </w:rPr>
              <w:t>​</w:t>
            </w:r>
          </w:p>
        </w:tc>
        <w:tc>
          <w:tcPr>
            <w:tcW w:w="100" w:type="dxa"/>
            <w:vAlign w:val="bottom"/>
            <w:vMerge w:val="continue"/>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Sales and marketing</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120" w:type="dxa"/>
            <w:vAlign w:val="bottom"/>
          </w:tcPr>
          <w:p>
            <w:pPr>
              <w:ind w:left="120"/>
              <w:spacing w:after="0" w:line="117" w:lineRule="exact"/>
              <w:rPr>
                <w:sz w:val="20"/>
                <w:szCs w:val="20"/>
                <w:color w:val="auto"/>
              </w:rPr>
            </w:pPr>
            <w:r>
              <w:rPr>
                <w:rFonts w:ascii="Times New Roman" w:cs="Times New Roman" w:eastAsia="Times New Roman" w:hAnsi="Times New Roman"/>
                <w:sz w:val="12"/>
                <w:szCs w:val="12"/>
                <w:color w:val="auto"/>
              </w:rPr>
              <w:t>expenses</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5"/>
          </w:tcPr>
          <w:p>
            <w:pPr>
              <w:jc w:val="right"/>
              <w:ind w:right="51"/>
              <w:spacing w:after="0" w:line="117" w:lineRule="exact"/>
              <w:rPr>
                <w:sz w:val="20"/>
                <w:szCs w:val="20"/>
                <w:color w:val="auto"/>
              </w:rPr>
            </w:pPr>
            <w:r>
              <w:rPr>
                <w:rFonts w:ascii="Times New Roman" w:cs="Times New Roman" w:eastAsia="Times New Roman" w:hAnsi="Times New Roman"/>
                <w:sz w:val="12"/>
                <w:szCs w:val="12"/>
                <w:color w:val="auto"/>
              </w:rPr>
              <w:t>(14,393)​ (17,741)</w:t>
            </w:r>
          </w:p>
        </w:tc>
        <w:tc>
          <w:tcPr>
            <w:tcW w:w="600" w:type="dxa"/>
            <w:vAlign w:val="bottom"/>
            <w:gridSpan w:val="2"/>
          </w:tcPr>
          <w:p>
            <w:pPr>
              <w:jc w:val="right"/>
              <w:ind w:right="23"/>
              <w:spacing w:after="0" w:line="117" w:lineRule="exact"/>
              <w:rPr>
                <w:sz w:val="20"/>
                <w:szCs w:val="20"/>
                <w:color w:val="auto"/>
              </w:rPr>
            </w:pPr>
            <w:r>
              <w:rPr>
                <w:rFonts w:ascii="Times New Roman" w:cs="Times New Roman" w:eastAsia="Times New Roman" w:hAnsi="Times New Roman"/>
                <w:sz w:val="12"/>
                <w:szCs w:val="12"/>
                <w:color w:val="auto"/>
              </w:rPr>
              <w:t>​ (19,265)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2"/>
              <w:spacing w:after="0" w:line="117" w:lineRule="exact"/>
              <w:rPr>
                <w:sz w:val="20"/>
                <w:szCs w:val="20"/>
                <w:color w:val="auto"/>
              </w:rPr>
            </w:pPr>
            <w:r>
              <w:rPr>
                <w:rFonts w:ascii="Times New Roman" w:cs="Times New Roman" w:eastAsia="Times New Roman" w:hAnsi="Times New Roman"/>
                <w:sz w:val="12"/>
                <w:szCs w:val="12"/>
                <w:color w:val="auto"/>
              </w:rPr>
              <w:t>​ (22,206)</w:t>
            </w: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5"/>
          </w:tcPr>
          <w:p>
            <w:pPr>
              <w:jc w:val="right"/>
              <w:spacing w:after="0" w:line="117" w:lineRule="exact"/>
              <w:rPr>
                <w:sz w:val="20"/>
                <w:szCs w:val="20"/>
                <w:color w:val="auto"/>
              </w:rPr>
            </w:pPr>
            <w:r>
              <w:rPr>
                <w:rFonts w:ascii="Times New Roman" w:cs="Times New Roman" w:eastAsia="Times New Roman" w:hAnsi="Times New Roman"/>
                <w:sz w:val="12"/>
                <w:szCs w:val="12"/>
                <w:color w:val="auto"/>
              </w:rPr>
              <w:t>(19,794) ​ (39,660)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(85,023)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w w:val="97"/>
              </w:rPr>
              <w:t>(117,086)</w:t>
            </w:r>
          </w:p>
        </w:tc>
        <w:tc>
          <w:tcPr>
            <w:tcW w:w="40" w:type="dxa"/>
            <w:vAlign w:val="bottom"/>
          </w:tcPr>
          <w:p>
            <w:pPr>
              <w:spacing w:after="0"/>
              <w:rPr>
                <w:sz w:val="10"/>
                <w:szCs w:val="10"/>
                <w:color w:val="auto"/>
              </w:rPr>
            </w:pPr>
          </w:p>
        </w:tc>
        <w:tc>
          <w:tcPr>
            <w:tcW w:w="8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2"/>
                <w:szCs w:val="12"/>
                <w:color w:val="auto"/>
              </w:rPr>
              <w:t>(112,540)​</w:t>
            </w:r>
          </w:p>
        </w:tc>
        <w:tc>
          <w:tcPr>
            <w:tcW w:w="5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2"/>
                <w:szCs w:val="12"/>
                <w:color w:val="auto"/>
              </w:rPr>
              <w:t>(249,028)</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w w:val="97"/>
              </w:rPr>
              <w:t>(351,687)</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(395,656)</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54"/>
        </w:trPr>
        <w:tc>
          <w:tcPr>
            <w:tcW w:w="11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 w:type="dxa"/>
            <w:vAlign w:val="bottom"/>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6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80" w:type="dxa"/>
            <w:vAlign w:val="bottom"/>
          </w:tcPr>
          <w:p>
            <w:pPr>
              <w:spacing w:after="0"/>
              <w:rPr>
                <w:sz w:val="4"/>
                <w:szCs w:val="4"/>
                <w:color w:val="auto"/>
              </w:rPr>
            </w:pPr>
          </w:p>
        </w:tc>
        <w:tc>
          <w:tcPr>
            <w:tcW w:w="8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r>
              <w:rPr>
                <w:rFonts w:ascii="Times New Roman" w:cs="Times New Roman" w:eastAsia="Times New Roman" w:hAnsi="Times New Roman"/>
                <w:sz w:val="6"/>
                <w:szCs w:val="6"/>
                <w:color w:val="auto"/>
              </w:rPr>
              <w:t>​</w:t>
            </w:r>
          </w:p>
        </w:tc>
        <w:tc>
          <w:tcPr>
            <w:tcW w:w="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r>
              <w:rPr>
                <w:rFonts w:ascii="Times New Roman" w:cs="Times New Roman" w:eastAsia="Times New Roman" w:hAnsi="Times New Roman"/>
                <w:sz w:val="6"/>
                <w:szCs w:val="6"/>
                <w:color w:val="auto"/>
              </w:rPr>
              <w:t>​​</w:t>
            </w:r>
          </w:p>
        </w:tc>
        <w:tc>
          <w:tcPr>
            <w:tcW w:w="48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r>
              <w:rPr>
                <w:rFonts w:ascii="Times New Roman" w:cs="Times New Roman" w:eastAsia="Times New Roman" w:hAnsi="Times New Roman"/>
                <w:sz w:val="6"/>
                <w:szCs w:val="6"/>
                <w:color w:val="auto"/>
              </w:rPr>
              <w:t>​</w:t>
            </w:r>
          </w:p>
        </w:tc>
        <w:tc>
          <w:tcPr>
            <w:tcW w:w="1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administrative</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12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2"/>
                <w:szCs w:val="12"/>
                <w:color w:val="auto"/>
              </w:rPr>
              <w:t>expenses</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5"/>
            <w:shd w:val="clear" w:color="auto" w:fill="CCEEFF"/>
          </w:tcPr>
          <w:p>
            <w:pPr>
              <w:jc w:val="right"/>
              <w:ind w:right="51"/>
              <w:spacing w:after="0" w:line="117" w:lineRule="exact"/>
              <w:rPr>
                <w:sz w:val="20"/>
                <w:szCs w:val="20"/>
                <w:color w:val="auto"/>
              </w:rPr>
            </w:pPr>
            <w:r>
              <w:rPr>
                <w:rFonts w:ascii="Times New Roman" w:cs="Times New Roman" w:eastAsia="Times New Roman" w:hAnsi="Times New Roman"/>
                <w:sz w:val="12"/>
                <w:szCs w:val="12"/>
                <w:color w:val="auto"/>
              </w:rPr>
              <w:t>(24,198)​ (22,708)</w:t>
            </w:r>
          </w:p>
        </w:tc>
        <w:tc>
          <w:tcPr>
            <w:tcW w:w="600" w:type="dxa"/>
            <w:vAlign w:val="bottom"/>
            <w:tcBorders>
              <w:right w:val="single" w:sz="8" w:color="CCEEFF"/>
            </w:tcBorders>
            <w:gridSpan w:val="2"/>
            <w:shd w:val="clear" w:color="auto" w:fill="CCEEFF"/>
          </w:tcPr>
          <w:p>
            <w:pPr>
              <w:jc w:val="right"/>
              <w:ind w:right="23"/>
              <w:spacing w:after="0" w:line="117" w:lineRule="exact"/>
              <w:rPr>
                <w:sz w:val="20"/>
                <w:szCs w:val="20"/>
                <w:color w:val="auto"/>
              </w:rPr>
            </w:pPr>
            <w:r>
              <w:rPr>
                <w:rFonts w:ascii="Times New Roman" w:cs="Times New Roman" w:eastAsia="Times New Roman" w:hAnsi="Times New Roman"/>
                <w:sz w:val="12"/>
                <w:szCs w:val="12"/>
                <w:color w:val="auto"/>
              </w:rPr>
              <w:t>​ (25,003)</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2"/>
              <w:spacing w:after="0" w:line="117" w:lineRule="exact"/>
              <w:rPr>
                <w:sz w:val="20"/>
                <w:szCs w:val="20"/>
                <w:color w:val="auto"/>
              </w:rPr>
            </w:pPr>
            <w:r>
              <w:rPr>
                <w:rFonts w:ascii="Times New Roman" w:cs="Times New Roman" w:eastAsia="Times New Roman" w:hAnsi="Times New Roman"/>
                <w:sz w:val="12"/>
                <w:szCs w:val="12"/>
                <w:color w:val="auto"/>
              </w:rPr>
              <w:t>​ (27,621)</w:t>
            </w:r>
          </w:p>
        </w:tc>
        <w:tc>
          <w:tcPr>
            <w:tcW w:w="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right w:val="single" w:sz="8" w:color="CCEEFF"/>
            </w:tcBorders>
            <w:gridSpan w:val="5"/>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(32,230) ​ (55,987)</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(87,041)</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7"/>
              </w:rPr>
              <w:t>(187,841)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CCEEFF"/>
            </w:tcBorders>
            <w:gridSpan w:val="3"/>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(217,673)​</w:t>
            </w:r>
          </w:p>
        </w:tc>
        <w:tc>
          <w:tcPr>
            <w:tcW w:w="540" w:type="dxa"/>
            <w:vAlign w:val="bottom"/>
            <w:tcBorders>
              <w:right w:val="single" w:sz="8" w:color="CCEEFF"/>
            </w:tcBorders>
            <w:gridSpan w:val="2"/>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(235,497)</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7"/>
              </w:rPr>
              <w:t>(323,906)</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tcBorders>
              <w:right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(336,311)</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54"/>
        </w:trPr>
        <w:tc>
          <w:tcPr>
            <w:tcW w:w="112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20" w:type="dxa"/>
            <w:vAlign w:val="bottom"/>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Borders>
              <w:right w:val="single" w:sz="8" w:color="CCEEFF"/>
            </w:tcBorders>
            <w:shd w:val="clear" w:color="auto" w:fill="CCEEFF"/>
          </w:tcPr>
          <w:p>
            <w:pPr>
              <w:spacing w:after="0"/>
              <w:rPr>
                <w:sz w:val="4"/>
                <w:szCs w:val="4"/>
                <w:color w:val="auto"/>
              </w:rPr>
            </w:pPr>
          </w:p>
        </w:tc>
        <w:tc>
          <w:tcPr>
            <w:tcW w:w="8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60" w:type="dxa"/>
            <w:vAlign w:val="bottom"/>
            <w:shd w:val="clear" w:color="auto" w:fill="CCEEFF"/>
          </w:tcPr>
          <w:p>
            <w:pPr>
              <w:spacing w:after="0"/>
              <w:rPr>
                <w:sz w:val="4"/>
                <w:szCs w:val="4"/>
                <w:color w:val="auto"/>
              </w:rPr>
            </w:pPr>
          </w:p>
        </w:tc>
        <w:tc>
          <w:tcPr>
            <w:tcW w:w="120" w:type="dxa"/>
            <w:vAlign w:val="bottom"/>
            <w:gridSpan w:val="2"/>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0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80" w:type="dxa"/>
            <w:vAlign w:val="bottom"/>
            <w:shd w:val="clear" w:color="auto" w:fill="CCEEFF"/>
          </w:tcPr>
          <w:p>
            <w:pPr>
              <w:spacing w:after="0"/>
              <w:rPr>
                <w:sz w:val="4"/>
                <w:szCs w:val="4"/>
                <w:color w:val="auto"/>
              </w:rPr>
            </w:pPr>
          </w:p>
        </w:tc>
        <w:tc>
          <w:tcPr>
            <w:tcW w:w="8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r>
              <w:rPr>
                <w:rFonts w:ascii="Times New Roman" w:cs="Times New Roman" w:eastAsia="Times New Roman" w:hAnsi="Times New Roman"/>
                <w:sz w:val="6"/>
                <w:szCs w:val="6"/>
                <w:color w:val="auto"/>
              </w:rPr>
              <w:t>​</w:t>
            </w:r>
          </w:p>
        </w:tc>
        <w:tc>
          <w:tcPr>
            <w:tcW w:w="80" w:type="dxa"/>
            <w:vAlign w:val="bottom"/>
            <w:vMerge w:val="continue"/>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8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tcBorders>
              <w:right w:val="single" w:sz="8" w:color="CCEEFF"/>
            </w:tcBorders>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r>
              <w:rPr>
                <w:rFonts w:ascii="Times New Roman" w:cs="Times New Roman" w:eastAsia="Times New Roman" w:hAnsi="Times New Roman"/>
                <w:sz w:val="6"/>
                <w:szCs w:val="6"/>
                <w:color w:val="auto"/>
              </w:rPr>
              <w:t>​​</w:t>
            </w:r>
          </w:p>
        </w:tc>
        <w:tc>
          <w:tcPr>
            <w:tcW w:w="480" w:type="dxa"/>
            <w:vAlign w:val="bottom"/>
            <w:shd w:val="clear" w:color="auto" w:fill="CCEEFF"/>
          </w:tcPr>
          <w:p>
            <w:pPr>
              <w:spacing w:after="0"/>
              <w:rPr>
                <w:sz w:val="4"/>
                <w:szCs w:val="4"/>
                <w:color w:val="auto"/>
              </w:rPr>
            </w:pPr>
          </w:p>
        </w:tc>
        <w:tc>
          <w:tcPr>
            <w:tcW w:w="6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r>
              <w:rPr>
                <w:rFonts w:ascii="Times New Roman" w:cs="Times New Roman" w:eastAsia="Times New Roman" w:hAnsi="Times New Roman"/>
                <w:sz w:val="6"/>
                <w:szCs w:val="6"/>
                <w:color w:val="auto"/>
              </w:rPr>
              <w:t>​</w:t>
            </w:r>
          </w:p>
        </w:tc>
        <w:tc>
          <w:tcPr>
            <w:tcW w:w="100" w:type="dxa"/>
            <w:vAlign w:val="bottom"/>
            <w:vMerge w:val="continue"/>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1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operating</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12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b w:val="1"/>
                <w:bCs w:val="1"/>
                <w:color w:val="auto"/>
              </w:rPr>
              <w:t>expenses</w:t>
            </w:r>
          </w:p>
        </w:tc>
        <w:tc>
          <w:tcPr>
            <w:tcW w:w="1020" w:type="dxa"/>
            <w:vAlign w:val="bottom"/>
            <w:gridSpan w:val="6"/>
          </w:tcPr>
          <w:p>
            <w:pPr>
              <w:jc w:val="right"/>
              <w:ind w:right="51"/>
              <w:spacing w:after="0" w:line="118" w:lineRule="exact"/>
              <w:rPr>
                <w:sz w:val="20"/>
                <w:szCs w:val="20"/>
                <w:color w:val="auto"/>
              </w:rPr>
            </w:pPr>
            <w:r>
              <w:rPr>
                <w:rFonts w:ascii="Times New Roman" w:cs="Times New Roman" w:eastAsia="Times New Roman" w:hAnsi="Times New Roman"/>
                <w:sz w:val="12"/>
                <w:szCs w:val="12"/>
                <w:b w:val="1"/>
                <w:bCs w:val="1"/>
                <w:color w:val="auto"/>
                <w:w w:val="99"/>
              </w:rPr>
              <w:t>(102,435)​(119,648)</w:t>
            </w:r>
          </w:p>
        </w:tc>
        <w:tc>
          <w:tcPr>
            <w:tcW w:w="600" w:type="dxa"/>
            <w:vAlign w:val="bottom"/>
            <w:gridSpan w:val="2"/>
          </w:tcPr>
          <w:p>
            <w:pPr>
              <w:jc w:val="right"/>
              <w:ind w:right="23"/>
              <w:spacing w:after="0" w:line="118" w:lineRule="exact"/>
              <w:rPr>
                <w:sz w:val="20"/>
                <w:szCs w:val="20"/>
                <w:color w:val="auto"/>
              </w:rPr>
            </w:pPr>
            <w:r>
              <w:rPr>
                <w:rFonts w:ascii="Times New Roman" w:cs="Times New Roman" w:eastAsia="Times New Roman" w:hAnsi="Times New Roman"/>
                <w:sz w:val="12"/>
                <w:szCs w:val="12"/>
                <w:b w:val="1"/>
                <w:bCs w:val="1"/>
                <w:color w:val="auto"/>
              </w:rPr>
              <w:t>​(167,055)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gridSpan w:val="2"/>
          </w:tcPr>
          <w:p>
            <w:pPr>
              <w:jc w:val="right"/>
              <w:ind w:right="2"/>
              <w:spacing w:after="0" w:line="118" w:lineRule="exact"/>
              <w:rPr>
                <w:sz w:val="20"/>
                <w:szCs w:val="20"/>
                <w:color w:val="auto"/>
              </w:rPr>
            </w:pPr>
            <w:r>
              <w:rPr>
                <w:rFonts w:ascii="Times New Roman" w:cs="Times New Roman" w:eastAsia="Times New Roman" w:hAnsi="Times New Roman"/>
                <w:sz w:val="12"/>
                <w:szCs w:val="12"/>
                <w:b w:val="1"/>
                <w:bCs w:val="1"/>
                <w:color w:val="auto"/>
              </w:rPr>
              <w:t>​(218,356)</w:t>
            </w:r>
          </w:p>
        </w:tc>
        <w:tc>
          <w:tcPr>
            <w:tcW w:w="40" w:type="dxa"/>
            <w:vAlign w:val="bottom"/>
          </w:tcPr>
          <w:p>
            <w:pPr>
              <w:spacing w:after="0"/>
              <w:rPr>
                <w:sz w:val="10"/>
                <w:szCs w:val="10"/>
                <w:color w:val="auto"/>
              </w:rPr>
            </w:pPr>
          </w:p>
        </w:tc>
        <w:tc>
          <w:tcPr>
            <w:tcW w:w="1040" w:type="dxa"/>
            <w:vAlign w:val="bottom"/>
            <w:gridSpan w:val="6"/>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(336,887) ​(581,030)</w:t>
            </w:r>
          </w:p>
        </w:tc>
        <w:tc>
          <w:tcPr>
            <w:tcW w:w="6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w w:val="96"/>
              </w:rPr>
              <w:t>(1,077,395)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w w:val="96"/>
              </w:rPr>
              <w:t>(1,570,756)</w:t>
            </w:r>
          </w:p>
        </w:tc>
        <w:tc>
          <w:tcPr>
            <w:tcW w:w="40" w:type="dxa"/>
            <w:vAlign w:val="bottom"/>
          </w:tcPr>
          <w:p>
            <w:pPr>
              <w:spacing w:after="0"/>
              <w:rPr>
                <w:sz w:val="10"/>
                <w:szCs w:val="10"/>
                <w:color w:val="auto"/>
              </w:rPr>
            </w:pPr>
          </w:p>
        </w:tc>
        <w:tc>
          <w:tcPr>
            <w:tcW w:w="1140" w:type="dxa"/>
            <w:vAlign w:val="bottom"/>
            <w:gridSpan w:val="6"/>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w w:val="98"/>
              </w:rPr>
              <w:t>​(1,800,628)​(2,279,414)</w:t>
            </w:r>
          </w:p>
        </w:tc>
        <w:tc>
          <w:tcPr>
            <w:tcW w:w="6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w w:val="99"/>
              </w:rPr>
              <w:t>(2,746,998)</w:t>
            </w:r>
          </w:p>
        </w:tc>
        <w:tc>
          <w:tcPr>
            <w:tcW w:w="66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(2,691,943)</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54"/>
        </w:trPr>
        <w:tc>
          <w:tcPr>
            <w:tcW w:w="1120" w:type="dxa"/>
            <w:vAlign w:val="bottom"/>
          </w:tcPr>
          <w:p>
            <w:pPr>
              <w:spacing w:after="0"/>
              <w:rPr>
                <w:sz w:val="4"/>
                <w:szCs w:val="4"/>
                <w:color w:val="auto"/>
              </w:rPr>
            </w:pPr>
          </w:p>
        </w:tc>
        <w:tc>
          <w:tcPr>
            <w:tcW w:w="80" w:type="dxa"/>
            <w:vAlign w:val="bottom"/>
          </w:tcPr>
          <w:p>
            <w:pPr>
              <w:ind w:left="2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60" w:type="dxa"/>
            <w:vAlign w:val="bottom"/>
          </w:tcPr>
          <w:p>
            <w:pPr>
              <w:spacing w:after="0"/>
              <w:rPr>
                <w:sz w:val="4"/>
                <w:szCs w:val="4"/>
                <w:color w:val="auto"/>
              </w:rPr>
            </w:pPr>
          </w:p>
        </w:tc>
        <w:tc>
          <w:tcPr>
            <w:tcW w:w="120" w:type="dxa"/>
            <w:vAlign w:val="bottom"/>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tcPr>
          <w:p>
            <w:pPr>
              <w:ind w:left="4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50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 w:type="dxa"/>
            <w:vAlign w:val="bottom"/>
          </w:tcPr>
          <w:p>
            <w:pPr>
              <w:ind w:left="4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60" w:type="dxa"/>
            <w:vAlign w:val="bottom"/>
          </w:tcPr>
          <w:p>
            <w:pPr>
              <w:spacing w:after="0"/>
              <w:rPr>
                <w:sz w:val="4"/>
                <w:szCs w:val="4"/>
                <w:color w:val="auto"/>
              </w:rPr>
            </w:pPr>
          </w:p>
        </w:tc>
        <w:tc>
          <w:tcPr>
            <w:tcW w:w="1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00" w:type="dxa"/>
            <w:vAlign w:val="bottom"/>
          </w:tcPr>
          <w:p>
            <w:pPr>
              <w:spacing w:after="0"/>
              <w:rPr>
                <w:sz w:val="4"/>
                <w:szCs w:val="4"/>
                <w:color w:val="auto"/>
              </w:rPr>
            </w:pPr>
          </w:p>
        </w:tc>
        <w:tc>
          <w:tcPr>
            <w:tcW w:w="10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80" w:type="dxa"/>
            <w:vAlign w:val="bottom"/>
          </w:tcPr>
          <w:p>
            <w:pPr>
              <w:spacing w:after="0"/>
              <w:rPr>
                <w:sz w:val="4"/>
                <w:szCs w:val="4"/>
                <w:color w:val="auto"/>
              </w:rPr>
            </w:pPr>
          </w:p>
        </w:tc>
        <w:tc>
          <w:tcPr>
            <w:tcW w:w="8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8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5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8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500" w:type="dxa"/>
            <w:vAlign w:val="bottom"/>
          </w:tcPr>
          <w:p>
            <w:pPr>
              <w:spacing w:after="0"/>
              <w:rPr>
                <w:sz w:val="4"/>
                <w:szCs w:val="4"/>
                <w:color w:val="auto"/>
              </w:rPr>
            </w:pPr>
          </w:p>
        </w:tc>
        <w:tc>
          <w:tcPr>
            <w:tcW w:w="1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8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10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520" w:type="dxa"/>
            <w:vAlign w:val="bottom"/>
          </w:tcPr>
          <w:p>
            <w:pPr>
              <w:spacing w:after="0"/>
              <w:rPr>
                <w:sz w:val="4"/>
                <w:szCs w:val="4"/>
                <w:color w:val="auto"/>
              </w:rPr>
            </w:pPr>
          </w:p>
        </w:tc>
        <w:tc>
          <w:tcPr>
            <w:tcW w:w="14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5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(Loss)/income from</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12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b w:val="1"/>
                <w:bCs w:val="1"/>
                <w:color w:val="auto"/>
              </w:rPr>
              <w:t>operations</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gridSpan w:val="5"/>
            <w:shd w:val="clear" w:color="auto" w:fill="CCEEFF"/>
          </w:tcPr>
          <w:p>
            <w:pPr>
              <w:jc w:val="right"/>
              <w:ind w:right="51"/>
              <w:spacing w:after="0" w:line="118" w:lineRule="exact"/>
              <w:rPr>
                <w:sz w:val="20"/>
                <w:szCs w:val="20"/>
                <w:color w:val="auto"/>
              </w:rPr>
            </w:pPr>
            <w:r>
              <w:rPr>
                <w:rFonts w:ascii="Times New Roman" w:cs="Times New Roman" w:eastAsia="Times New Roman" w:hAnsi="Times New Roman"/>
                <w:sz w:val="12"/>
                <w:szCs w:val="12"/>
                <w:b w:val="1"/>
                <w:bCs w:val="1"/>
                <w:color w:val="auto"/>
              </w:rPr>
              <w:t>(47,612)​ (45,758)</w:t>
            </w:r>
          </w:p>
        </w:tc>
        <w:tc>
          <w:tcPr>
            <w:tcW w:w="600" w:type="dxa"/>
            <w:vAlign w:val="bottom"/>
            <w:tcBorders>
              <w:right w:val="single" w:sz="8" w:color="CCEEFF"/>
            </w:tcBorders>
            <w:gridSpan w:val="2"/>
            <w:shd w:val="clear" w:color="auto" w:fill="CCEEFF"/>
          </w:tcPr>
          <w:p>
            <w:pPr>
              <w:jc w:val="right"/>
              <w:ind w:right="23"/>
              <w:spacing w:after="0" w:line="118" w:lineRule="exact"/>
              <w:rPr>
                <w:sz w:val="20"/>
                <w:szCs w:val="20"/>
                <w:color w:val="auto"/>
              </w:rPr>
            </w:pPr>
            <w:r>
              <w:rPr>
                <w:rFonts w:ascii="Times New Roman" w:cs="Times New Roman" w:eastAsia="Times New Roman" w:hAnsi="Times New Roman"/>
                <w:sz w:val="12"/>
                <w:szCs w:val="12"/>
                <w:b w:val="1"/>
                <w:bCs w:val="1"/>
                <w:color w:val="auto"/>
              </w:rPr>
              <w:t>​ (19,748)</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shd w:val="clear" w:color="auto" w:fill="CCEEFF"/>
          </w:tcPr>
          <w:p>
            <w:pPr>
              <w:jc w:val="right"/>
              <w:ind w:right="2"/>
              <w:spacing w:after="0" w:line="118" w:lineRule="exact"/>
              <w:rPr>
                <w:sz w:val="20"/>
                <w:szCs w:val="20"/>
                <w:color w:val="auto"/>
              </w:rPr>
            </w:pPr>
            <w:r>
              <w:rPr>
                <w:rFonts w:ascii="Times New Roman" w:cs="Times New Roman" w:eastAsia="Times New Roman" w:hAnsi="Times New Roman"/>
                <w:sz w:val="12"/>
                <w:szCs w:val="12"/>
                <w:b w:val="1"/>
                <w:bCs w:val="1"/>
                <w:color w:val="auto"/>
              </w:rPr>
              <w:t>(2,723)</w:t>
            </w:r>
          </w:p>
        </w:tc>
        <w:tc>
          <w:tcPr>
            <w:tcW w:w="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80,140</w:t>
            </w:r>
          </w:p>
        </w:tc>
        <w:tc>
          <w:tcPr>
            <w:tcW w:w="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 151,355</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right w:val="single" w:sz="8" w:color="CCEEFF"/>
            </w:tcBorders>
            <w:shd w:val="clear" w:color="auto" w:fill="CCEEFF"/>
          </w:tcPr>
          <w:p>
            <w:pPr>
              <w:jc w:val="right"/>
              <w:ind w:right="22"/>
              <w:spacing w:after="0" w:line="118" w:lineRule="exact"/>
              <w:rPr>
                <w:sz w:val="20"/>
                <w:szCs w:val="20"/>
                <w:color w:val="auto"/>
              </w:rPr>
            </w:pPr>
            <w:r>
              <w:rPr>
                <w:rFonts w:ascii="Times New Roman" w:cs="Times New Roman" w:eastAsia="Times New Roman" w:hAnsi="Times New Roman"/>
                <w:sz w:val="12"/>
                <w:szCs w:val="12"/>
                <w:b w:val="1"/>
                <w:bCs w:val="1"/>
                <w:color w:val="auto"/>
              </w:rPr>
              <w:t>366,316</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2"/>
                <w:szCs w:val="12"/>
                <w:b w:val="1"/>
                <w:bCs w:val="1"/>
                <w:color w:val="auto"/>
              </w:rPr>
              <w:t>476,292</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right w:val="single" w:sz="8" w:color="CCEEFF"/>
            </w:tcBorders>
            <w:gridSpan w:val="3"/>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705,943 ​</w:t>
            </w:r>
          </w:p>
        </w:tc>
        <w:tc>
          <w:tcPr>
            <w:tcW w:w="4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743,923</w:t>
            </w:r>
          </w:p>
        </w:tc>
        <w:tc>
          <w:tcPr>
            <w:tcW w:w="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right w:val="single" w:sz="8" w:color="CCEEFF"/>
            </w:tcBorders>
            <w:shd w:val="clear" w:color="auto" w:fill="CCEEFF"/>
          </w:tcPr>
          <w:p>
            <w:pPr>
              <w:jc w:val="right"/>
              <w:ind w:right="22"/>
              <w:spacing w:after="0" w:line="118" w:lineRule="exact"/>
              <w:rPr>
                <w:sz w:val="20"/>
                <w:szCs w:val="20"/>
                <w:color w:val="auto"/>
              </w:rPr>
            </w:pPr>
            <w:r>
              <w:rPr>
                <w:rFonts w:ascii="Times New Roman" w:cs="Times New Roman" w:eastAsia="Times New Roman" w:hAnsi="Times New Roman"/>
                <w:sz w:val="12"/>
                <w:szCs w:val="12"/>
                <w:b w:val="1"/>
                <w:bCs w:val="1"/>
                <w:color w:val="auto"/>
              </w:rPr>
              <w:t>794,250</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520" w:type="dxa"/>
            <w:vAlign w:val="bottom"/>
            <w:tcBorders>
              <w:right w:val="single" w:sz="8" w:color="CCEEFF"/>
            </w:tcBorders>
            <w:shd w:val="clear" w:color="auto" w:fill="CCEEFF"/>
          </w:tcPr>
          <w:p>
            <w:pPr>
              <w:jc w:val="right"/>
              <w:ind w:right="2"/>
              <w:spacing w:after="0" w:line="118" w:lineRule="exact"/>
              <w:rPr>
                <w:sz w:val="20"/>
                <w:szCs w:val="20"/>
                <w:color w:val="auto"/>
              </w:rPr>
            </w:pPr>
            <w:r>
              <w:rPr>
                <w:rFonts w:ascii="Times New Roman" w:cs="Times New Roman" w:eastAsia="Times New Roman" w:hAnsi="Times New Roman"/>
                <w:sz w:val="12"/>
                <w:szCs w:val="12"/>
                <w:b w:val="1"/>
                <w:bCs w:val="1"/>
                <w:color w:val="auto"/>
              </w:rPr>
              <w:t>642,483</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54"/>
        </w:trPr>
        <w:tc>
          <w:tcPr>
            <w:tcW w:w="112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20" w:type="dxa"/>
            <w:vAlign w:val="bottom"/>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500" w:type="dxa"/>
            <w:vAlign w:val="bottom"/>
            <w:tcBorders>
              <w:right w:val="single" w:sz="8" w:color="CCEEFF"/>
            </w:tcBorders>
            <w:shd w:val="clear" w:color="auto" w:fill="CCEEFF"/>
          </w:tcPr>
          <w:p>
            <w:pPr>
              <w:spacing w:after="0"/>
              <w:rPr>
                <w:sz w:val="4"/>
                <w:szCs w:val="4"/>
                <w:color w:val="auto"/>
              </w:rPr>
            </w:pPr>
          </w:p>
        </w:tc>
        <w:tc>
          <w:tcPr>
            <w:tcW w:w="8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60" w:type="dxa"/>
            <w:vAlign w:val="bottom"/>
            <w:shd w:val="clear" w:color="auto" w:fill="CCEEFF"/>
          </w:tcPr>
          <w:p>
            <w:pPr>
              <w:spacing w:after="0"/>
              <w:rPr>
                <w:sz w:val="4"/>
                <w:szCs w:val="4"/>
                <w:color w:val="auto"/>
              </w:rPr>
            </w:pPr>
          </w:p>
        </w:tc>
        <w:tc>
          <w:tcPr>
            <w:tcW w:w="120" w:type="dxa"/>
            <w:vAlign w:val="bottom"/>
            <w:gridSpan w:val="2"/>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0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80" w:type="dxa"/>
            <w:vAlign w:val="bottom"/>
            <w:shd w:val="clear" w:color="auto" w:fill="CCEEFF"/>
          </w:tcPr>
          <w:p>
            <w:pPr>
              <w:spacing w:after="0"/>
              <w:rPr>
                <w:sz w:val="4"/>
                <w:szCs w:val="4"/>
                <w:color w:val="auto"/>
              </w:rPr>
            </w:pPr>
          </w:p>
        </w:tc>
        <w:tc>
          <w:tcPr>
            <w:tcW w:w="8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8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tcBorders>
              <w:right w:val="single" w:sz="8" w:color="CCEEFF"/>
            </w:tcBorders>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80" w:type="dxa"/>
            <w:vAlign w:val="bottom"/>
            <w:shd w:val="clear" w:color="auto" w:fill="CCEEFF"/>
          </w:tcPr>
          <w:p>
            <w:pPr>
              <w:spacing w:after="0"/>
              <w:rPr>
                <w:sz w:val="4"/>
                <w:szCs w:val="4"/>
                <w:color w:val="auto"/>
              </w:rPr>
            </w:pPr>
          </w:p>
        </w:tc>
        <w:tc>
          <w:tcPr>
            <w:tcW w:w="6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Fair value change of</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forward contract</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related to Series B+</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preferred</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shares</w:t>
            </w:r>
          </w:p>
        </w:tc>
        <w:tc>
          <w:tcPr>
            <w:tcW w:w="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color w:val="auto"/>
              </w:rPr>
              <w:t>​</w:t>
            </w:r>
          </w:p>
        </w:tc>
        <w:tc>
          <w:tcPr>
            <w:tcW w:w="460" w:type="dxa"/>
            <w:vAlign w:val="bottom"/>
            <w:gridSpan w:val="3"/>
          </w:tcPr>
          <w:p>
            <w:pPr>
              <w:jc w:val="right"/>
              <w:ind w:right="51"/>
              <w:spacing w:after="0" w:line="17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b w:val="1"/>
                <w:bCs w:val="1"/>
                <w:color w:val="auto"/>
                <w:vertAlign w:val="subscript"/>
              </w:rPr>
              <w:t>​</w:t>
            </w:r>
          </w:p>
        </w:tc>
        <w:tc>
          <w:tcPr>
            <w:tcW w:w="100" w:type="dxa"/>
            <w:vAlign w:val="bottom"/>
          </w:tcPr>
          <w:p>
            <w:pPr>
              <w:ind w:left="40"/>
              <w:spacing w:after="0" w:line="170"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50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ind w:left="40"/>
              <w:spacing w:after="0" w:line="170"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4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3"/>
          </w:tcPr>
          <w:p>
            <w:pPr>
              <w:jc w:val="right"/>
              <w:spacing w:after="0" w:line="170"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perscript"/>
              </w:rPr>
              <w:t>​</w:t>
            </w:r>
          </w:p>
        </w:tc>
        <w:tc>
          <w:tcPr>
            <w:tcW w:w="540" w:type="dxa"/>
            <w:vAlign w:val="bottom"/>
            <w:gridSpan w:val="3"/>
          </w:tcPr>
          <w:p>
            <w:pPr>
              <w:jc w:val="right"/>
              <w:spacing w:after="0" w:line="170"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3"/>
          </w:tcPr>
          <w:p>
            <w:pPr>
              <w:jc w:val="right"/>
              <w:spacing w:after="0" w:line="170" w:lineRule="exact"/>
              <w:rPr>
                <w:sz w:val="20"/>
                <w:szCs w:val="20"/>
                <w:color w:val="auto"/>
              </w:rPr>
            </w:pPr>
            <w:r>
              <w:rPr>
                <w:rFonts w:ascii="Times New Roman" w:cs="Times New Roman" w:eastAsia="Times New Roman" w:hAnsi="Times New Roman"/>
                <w:sz w:val="10"/>
                <w:szCs w:val="10"/>
                <w:color w:val="auto"/>
              </w:rPr>
              <w:t xml:space="preserve">(105,483) </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320" w:type="dxa"/>
            <w:vAlign w:val="bottom"/>
          </w:tcPr>
          <w:p>
            <w:pPr>
              <w:spacing w:after="0"/>
              <w:rPr>
                <w:sz w:val="14"/>
                <w:szCs w:val="14"/>
                <w:color w:val="auto"/>
              </w:rPr>
            </w:pPr>
          </w:p>
        </w:tc>
        <w:tc>
          <w:tcPr>
            <w:tcW w:w="20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640" w:type="dxa"/>
            <w:vAlign w:val="bottom"/>
            <w:gridSpan w:val="3"/>
          </w:tcPr>
          <w:p>
            <w:pPr>
              <w:jc w:val="right"/>
              <w:spacing w:after="0" w:line="170"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Financial income/​</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(expense), net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0"/>
                <w:szCs w:val="10"/>
                <w:color w:val="auto"/>
              </w:rPr>
              <w:t xml:space="preserve">826 </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color w:val="auto"/>
              </w:rPr>
              <w:t>​</w:t>
            </w:r>
          </w:p>
        </w:tc>
        <w:tc>
          <w:tcPr>
            <w:tcW w:w="460" w:type="dxa"/>
            <w:vAlign w:val="bottom"/>
            <w:gridSpan w:val="3"/>
            <w:shd w:val="clear" w:color="auto" w:fill="CCEEFF"/>
          </w:tcPr>
          <w:p>
            <w:pPr>
              <w:jc w:val="right"/>
              <w:ind w:right="51"/>
              <w:spacing w:after="0" w:line="170" w:lineRule="exact"/>
              <w:rPr>
                <w:sz w:val="20"/>
                <w:szCs w:val="20"/>
                <w:color w:val="auto"/>
              </w:rPr>
            </w:pPr>
            <w:r>
              <w:rPr>
                <w:rFonts w:ascii="Times New Roman" w:cs="Times New Roman" w:eastAsia="Times New Roman" w:hAnsi="Times New Roman"/>
                <w:sz w:val="10"/>
                <w:szCs w:val="10"/>
                <w:color w:val="auto"/>
              </w:rPr>
              <w:t>668</w:t>
            </w:r>
            <w:r>
              <w:rPr>
                <w:rFonts w:ascii="Times New Roman" w:cs="Times New Roman" w:eastAsia="Times New Roman" w:hAnsi="Times New Roman"/>
                <w:sz w:val="19"/>
                <w:szCs w:val="19"/>
                <w:b w:val="1"/>
                <w:bCs w:val="1"/>
                <w:color w:val="auto"/>
                <w:vertAlign w:val="subscript"/>
              </w:rPr>
              <w:t>​</w:t>
            </w:r>
          </w:p>
        </w:tc>
        <w:tc>
          <w:tcPr>
            <w:tcW w:w="100" w:type="dxa"/>
            <w:vAlign w:val="bottom"/>
            <w:shd w:val="clear" w:color="auto" w:fill="CCEEFF"/>
          </w:tcPr>
          <w:p>
            <w:pPr>
              <w:ind w:left="40"/>
              <w:spacing w:after="0" w:line="170"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500" w:type="dxa"/>
            <w:vAlign w:val="bottom"/>
            <w:tcBorders>
              <w:right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202</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ind w:left="40"/>
              <w:spacing w:after="0" w:line="170"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4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219</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3"/>
            <w:shd w:val="clear" w:color="auto" w:fill="CCEEFF"/>
          </w:tcPr>
          <w:p>
            <w:pPr>
              <w:jc w:val="right"/>
              <w:spacing w:after="0" w:line="170" w:lineRule="exact"/>
              <w:rPr>
                <w:sz w:val="20"/>
                <w:szCs w:val="20"/>
                <w:color w:val="auto"/>
              </w:rPr>
            </w:pPr>
            <w:r>
              <w:rPr>
                <w:rFonts w:ascii="Times New Roman" w:cs="Times New Roman" w:eastAsia="Times New Roman" w:hAnsi="Times New Roman"/>
                <w:sz w:val="10"/>
                <w:szCs w:val="10"/>
                <w:color w:val="auto"/>
              </w:rPr>
              <w:t xml:space="preserve">196 </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540" w:type="dxa"/>
            <w:vAlign w:val="bottom"/>
            <w:gridSpan w:val="3"/>
            <w:shd w:val="clear" w:color="auto" w:fill="CCEEFF"/>
          </w:tcPr>
          <w:p>
            <w:pPr>
              <w:jc w:val="right"/>
              <w:spacing w:after="0" w:line="170" w:lineRule="exact"/>
              <w:rPr>
                <w:sz w:val="20"/>
                <w:szCs w:val="20"/>
                <w:color w:val="auto"/>
              </w:rPr>
            </w:pPr>
            <w:r>
              <w:rPr>
                <w:rFonts w:ascii="Times New Roman" w:cs="Times New Roman" w:eastAsia="Times New Roman" w:hAnsi="Times New Roman"/>
                <w:sz w:val="19"/>
                <w:szCs w:val="19"/>
                <w:color w:val="auto"/>
                <w:vertAlign w:val="superscript"/>
              </w:rPr>
              <w:t>345</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t>
            </w:r>
          </w:p>
        </w:tc>
        <w:tc>
          <w:tcPr>
            <w:tcW w:w="52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3,617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12,858</w:t>
            </w:r>
          </w:p>
        </w:tc>
        <w:tc>
          <w:tcPr>
            <w:tcW w:w="12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9"/>
                <w:szCs w:val="19"/>
                <w:color w:val="auto"/>
                <w:vertAlign w:val="superscript"/>
              </w:rPr>
              <w:t>​</w:t>
            </w:r>
          </w:p>
        </w:tc>
        <w:tc>
          <w:tcPr>
            <w:tcW w:w="520" w:type="dxa"/>
            <w:vAlign w:val="bottom"/>
            <w:tcBorders>
              <w:right w:val="single" w:sz="8" w:color="CCEEFF"/>
            </w:tcBorders>
            <w:gridSpan w:val="3"/>
            <w:shd w:val="clear" w:color="auto" w:fill="CCEEFF"/>
          </w:tcPr>
          <w:p>
            <w:pPr>
              <w:jc w:val="right"/>
              <w:spacing w:after="0" w:line="170" w:lineRule="exact"/>
              <w:rPr>
                <w:sz w:val="20"/>
                <w:szCs w:val="20"/>
                <w:color w:val="auto"/>
              </w:rPr>
            </w:pPr>
            <w:r>
              <w:rPr>
                <w:rFonts w:ascii="Times New Roman" w:cs="Times New Roman" w:eastAsia="Times New Roman" w:hAnsi="Times New Roman"/>
                <w:sz w:val="10"/>
                <w:szCs w:val="10"/>
                <w:color w:val="auto"/>
              </w:rPr>
              <w:t>9,217</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w:t>
            </w:r>
          </w:p>
        </w:tc>
        <w:tc>
          <w:tcPr>
            <w:tcW w:w="640" w:type="dxa"/>
            <w:vAlign w:val="bottom"/>
            <w:gridSpan w:val="3"/>
            <w:shd w:val="clear" w:color="auto" w:fill="CCEEFF"/>
          </w:tcPr>
          <w:p>
            <w:pPr>
              <w:jc w:val="right"/>
              <w:spacing w:after="0" w:line="170" w:lineRule="exact"/>
              <w:rPr>
                <w:sz w:val="20"/>
                <w:szCs w:val="20"/>
                <w:color w:val="auto"/>
              </w:rPr>
            </w:pPr>
            <w:r>
              <w:rPr>
                <w:rFonts w:ascii="Times New Roman" w:cs="Times New Roman" w:eastAsia="Times New Roman" w:hAnsi="Times New Roman"/>
                <w:sz w:val="10"/>
                <w:szCs w:val="10"/>
                <w:color w:val="auto"/>
              </w:rPr>
              <w:t>7,979</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9"/>
                <w:szCs w:val="19"/>
                <w:color w:val="auto"/>
                <w:vertAlign w:val="subscript"/>
              </w:rPr>
              <w:t>​</w:t>
            </w:r>
          </w:p>
        </w:tc>
        <w:tc>
          <w:tcPr>
            <w:tcW w:w="52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21,324</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(1,214)</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Others, net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2,573 ​</w:t>
            </w:r>
          </w:p>
        </w:tc>
        <w:tc>
          <w:tcPr>
            <w:tcW w:w="460" w:type="dxa"/>
            <w:vAlign w:val="bottom"/>
            <w:gridSpan w:val="3"/>
          </w:tcPr>
          <w:p>
            <w:pPr>
              <w:jc w:val="right"/>
              <w:ind w:right="51"/>
              <w:spacing w:after="0"/>
              <w:rPr>
                <w:sz w:val="20"/>
                <w:szCs w:val="20"/>
                <w:color w:val="auto"/>
              </w:rPr>
            </w:pPr>
            <w:r>
              <w:rPr>
                <w:rFonts w:ascii="Times New Roman" w:cs="Times New Roman" w:eastAsia="Times New Roman" w:hAnsi="Times New Roman"/>
                <w:sz w:val="12"/>
                <w:szCs w:val="12"/>
                <w:color w:val="auto"/>
              </w:rPr>
              <w:t>(1,453)</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677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(251)</w:t>
            </w: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3,291</w:t>
            </w: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16,001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4,758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(3,359)</w:t>
            </w:r>
          </w:p>
        </w:tc>
        <w:tc>
          <w:tcPr>
            <w:tcW w:w="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29,340 ​</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35,140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(7,282)</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60,995</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54"/>
        </w:trPr>
        <w:tc>
          <w:tcPr>
            <w:tcW w:w="11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 w:type="dxa"/>
            <w:vAlign w:val="bottom"/>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6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r>
              <w:rPr>
                <w:rFonts w:ascii="Times New Roman" w:cs="Times New Roman" w:eastAsia="Times New Roman" w:hAnsi="Times New Roman"/>
                <w:sz w:val="6"/>
                <w:szCs w:val="6"/>
                <w:color w:val="auto"/>
              </w:rPr>
              <w:t>​​</w:t>
            </w:r>
          </w:p>
        </w:tc>
        <w:tc>
          <w:tcPr>
            <w:tcW w:w="4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(Loss)/income before</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12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12"/>
                <w:szCs w:val="12"/>
                <w:b w:val="1"/>
                <w:bCs w:val="1"/>
                <w:color w:val="auto"/>
              </w:rPr>
              <w:t>income tax</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gridSpan w:val="5"/>
            <w:shd w:val="clear" w:color="auto" w:fill="CCEEFF"/>
          </w:tcPr>
          <w:p>
            <w:pPr>
              <w:jc w:val="right"/>
              <w:ind w:right="51"/>
              <w:spacing w:after="0" w:line="118" w:lineRule="exact"/>
              <w:rPr>
                <w:sz w:val="20"/>
                <w:szCs w:val="20"/>
                <w:color w:val="auto"/>
              </w:rPr>
            </w:pPr>
            <w:r>
              <w:rPr>
                <w:rFonts w:ascii="Times New Roman" w:cs="Times New Roman" w:eastAsia="Times New Roman" w:hAnsi="Times New Roman"/>
                <w:sz w:val="12"/>
                <w:szCs w:val="12"/>
                <w:b w:val="1"/>
                <w:bCs w:val="1"/>
                <w:color w:val="auto"/>
              </w:rPr>
              <w:t>(44,213)​ (46,543)</w:t>
            </w:r>
          </w:p>
        </w:tc>
        <w:tc>
          <w:tcPr>
            <w:tcW w:w="600" w:type="dxa"/>
            <w:vAlign w:val="bottom"/>
            <w:tcBorders>
              <w:right w:val="single" w:sz="8" w:color="CCEEFF"/>
            </w:tcBorders>
            <w:gridSpan w:val="2"/>
            <w:shd w:val="clear" w:color="auto" w:fill="CCEEFF"/>
          </w:tcPr>
          <w:p>
            <w:pPr>
              <w:jc w:val="right"/>
              <w:ind w:right="23"/>
              <w:spacing w:after="0" w:line="118" w:lineRule="exact"/>
              <w:rPr>
                <w:sz w:val="20"/>
                <w:szCs w:val="20"/>
                <w:color w:val="auto"/>
              </w:rPr>
            </w:pPr>
            <w:r>
              <w:rPr>
                <w:rFonts w:ascii="Times New Roman" w:cs="Times New Roman" w:eastAsia="Times New Roman" w:hAnsi="Times New Roman"/>
                <w:sz w:val="12"/>
                <w:szCs w:val="12"/>
                <w:b w:val="1"/>
                <w:bCs w:val="1"/>
                <w:color w:val="auto"/>
              </w:rPr>
              <w:t>​ (18,869)</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shd w:val="clear" w:color="auto" w:fill="CCEEFF"/>
          </w:tcPr>
          <w:p>
            <w:pPr>
              <w:jc w:val="right"/>
              <w:ind w:right="2"/>
              <w:spacing w:after="0" w:line="118" w:lineRule="exact"/>
              <w:rPr>
                <w:sz w:val="20"/>
                <w:szCs w:val="20"/>
                <w:color w:val="auto"/>
              </w:rPr>
            </w:pPr>
            <w:r>
              <w:rPr>
                <w:rFonts w:ascii="Times New Roman" w:cs="Times New Roman" w:eastAsia="Times New Roman" w:hAnsi="Times New Roman"/>
                <w:sz w:val="12"/>
                <w:szCs w:val="12"/>
                <w:b w:val="1"/>
                <w:bCs w:val="1"/>
                <w:color w:val="auto"/>
              </w:rPr>
              <w:t>(2,755)</w:t>
            </w:r>
          </w:p>
        </w:tc>
        <w:tc>
          <w:tcPr>
            <w:tcW w:w="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83,627</w:t>
            </w:r>
          </w:p>
        </w:tc>
        <w:tc>
          <w:tcPr>
            <w:tcW w:w="2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 167,701</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right w:val="single" w:sz="8" w:color="CCEEFF"/>
            </w:tcBorders>
            <w:shd w:val="clear" w:color="auto" w:fill="CCEEFF"/>
          </w:tcPr>
          <w:p>
            <w:pPr>
              <w:jc w:val="right"/>
              <w:ind w:right="22"/>
              <w:spacing w:after="0" w:line="118" w:lineRule="exact"/>
              <w:rPr>
                <w:sz w:val="20"/>
                <w:szCs w:val="20"/>
                <w:color w:val="auto"/>
              </w:rPr>
            </w:pPr>
            <w:r>
              <w:rPr>
                <w:rFonts w:ascii="Times New Roman" w:cs="Times New Roman" w:eastAsia="Times New Roman" w:hAnsi="Times New Roman"/>
                <w:sz w:val="12"/>
                <w:szCs w:val="12"/>
                <w:b w:val="1"/>
                <w:bCs w:val="1"/>
                <w:color w:val="auto"/>
              </w:rPr>
              <w:t>374,691</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shd w:val="clear" w:color="auto" w:fill="CCEEFF"/>
          </w:tcPr>
          <w:p>
            <w:pPr>
              <w:jc w:val="right"/>
              <w:ind w:right="3"/>
              <w:spacing w:after="0" w:line="118" w:lineRule="exact"/>
              <w:rPr>
                <w:sz w:val="20"/>
                <w:szCs w:val="20"/>
                <w:color w:val="auto"/>
              </w:rPr>
            </w:pPr>
            <w:r>
              <w:rPr>
                <w:rFonts w:ascii="Times New Roman" w:cs="Times New Roman" w:eastAsia="Times New Roman" w:hAnsi="Times New Roman"/>
                <w:sz w:val="12"/>
                <w:szCs w:val="12"/>
                <w:b w:val="1"/>
                <w:bCs w:val="1"/>
                <w:color w:val="auto"/>
              </w:rPr>
              <w:t>380,308</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right w:val="single" w:sz="8" w:color="CCEEFF"/>
            </w:tcBorders>
            <w:gridSpan w:val="3"/>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744,500 ​</w:t>
            </w:r>
          </w:p>
        </w:tc>
        <w:tc>
          <w:tcPr>
            <w:tcW w:w="4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787,042</w:t>
            </w:r>
          </w:p>
        </w:tc>
        <w:tc>
          <w:tcPr>
            <w:tcW w:w="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right w:val="single" w:sz="8" w:color="CCEEFF"/>
            </w:tcBorders>
            <w:shd w:val="clear" w:color="auto" w:fill="CCEEFF"/>
          </w:tcPr>
          <w:p>
            <w:pPr>
              <w:jc w:val="right"/>
              <w:ind w:right="22"/>
              <w:spacing w:after="0" w:line="118" w:lineRule="exact"/>
              <w:rPr>
                <w:sz w:val="20"/>
                <w:szCs w:val="20"/>
                <w:color w:val="auto"/>
              </w:rPr>
            </w:pPr>
            <w:r>
              <w:rPr>
                <w:rFonts w:ascii="Times New Roman" w:cs="Times New Roman" w:eastAsia="Times New Roman" w:hAnsi="Times New Roman"/>
                <w:sz w:val="12"/>
                <w:szCs w:val="12"/>
                <w:b w:val="1"/>
                <w:bCs w:val="1"/>
                <w:color w:val="auto"/>
              </w:rPr>
              <w:t>808,292</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520" w:type="dxa"/>
            <w:vAlign w:val="bottom"/>
            <w:tcBorders>
              <w:right w:val="single" w:sz="8" w:color="CCEEFF"/>
            </w:tcBorders>
            <w:shd w:val="clear" w:color="auto" w:fill="CCEEFF"/>
          </w:tcPr>
          <w:p>
            <w:pPr>
              <w:jc w:val="right"/>
              <w:ind w:right="2"/>
              <w:spacing w:after="0" w:line="118" w:lineRule="exact"/>
              <w:rPr>
                <w:sz w:val="20"/>
                <w:szCs w:val="20"/>
                <w:color w:val="auto"/>
              </w:rPr>
            </w:pPr>
            <w:r>
              <w:rPr>
                <w:rFonts w:ascii="Times New Roman" w:cs="Times New Roman" w:eastAsia="Times New Roman" w:hAnsi="Times New Roman"/>
                <w:sz w:val="12"/>
                <w:szCs w:val="12"/>
                <w:b w:val="1"/>
                <w:bCs w:val="1"/>
                <w:color w:val="auto"/>
              </w:rPr>
              <w:t>702,264</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54"/>
        </w:trPr>
        <w:tc>
          <w:tcPr>
            <w:tcW w:w="112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20" w:type="dxa"/>
            <w:vAlign w:val="bottom"/>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500" w:type="dxa"/>
            <w:vAlign w:val="bottom"/>
            <w:tcBorders>
              <w:right w:val="single" w:sz="8" w:color="CCEEFF"/>
            </w:tcBorders>
            <w:shd w:val="clear" w:color="auto" w:fill="CCEEFF"/>
          </w:tcPr>
          <w:p>
            <w:pPr>
              <w:spacing w:after="0"/>
              <w:rPr>
                <w:sz w:val="4"/>
                <w:szCs w:val="4"/>
                <w:color w:val="auto"/>
              </w:rPr>
            </w:pPr>
          </w:p>
        </w:tc>
        <w:tc>
          <w:tcPr>
            <w:tcW w:w="8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60" w:type="dxa"/>
            <w:vAlign w:val="bottom"/>
            <w:shd w:val="clear" w:color="auto" w:fill="CCEEFF"/>
          </w:tcPr>
          <w:p>
            <w:pPr>
              <w:spacing w:after="0"/>
              <w:rPr>
                <w:sz w:val="4"/>
                <w:szCs w:val="4"/>
                <w:color w:val="auto"/>
              </w:rPr>
            </w:pPr>
          </w:p>
        </w:tc>
        <w:tc>
          <w:tcPr>
            <w:tcW w:w="120" w:type="dxa"/>
            <w:vAlign w:val="bottom"/>
            <w:gridSpan w:val="2"/>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0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80" w:type="dxa"/>
            <w:vAlign w:val="bottom"/>
            <w:shd w:val="clear" w:color="auto" w:fill="CCEEFF"/>
          </w:tcPr>
          <w:p>
            <w:pPr>
              <w:spacing w:after="0"/>
              <w:rPr>
                <w:sz w:val="4"/>
                <w:szCs w:val="4"/>
                <w:color w:val="auto"/>
              </w:rPr>
            </w:pPr>
          </w:p>
        </w:tc>
        <w:tc>
          <w:tcPr>
            <w:tcW w:w="8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8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tcBorders>
              <w:right w:val="single" w:sz="8" w:color="CCEEFF"/>
            </w:tcBorders>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80" w:type="dxa"/>
            <w:vAlign w:val="bottom"/>
            <w:shd w:val="clear" w:color="auto" w:fill="CCEEFF"/>
          </w:tcPr>
          <w:p>
            <w:pPr>
              <w:spacing w:after="0"/>
              <w:rPr>
                <w:sz w:val="4"/>
                <w:szCs w:val="4"/>
                <w:color w:val="auto"/>
              </w:rPr>
            </w:pPr>
          </w:p>
        </w:tc>
        <w:tc>
          <w:tcPr>
            <w:tcW w:w="6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Income tax benefit/​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120" w:type="dxa"/>
            <w:vAlign w:val="bottom"/>
          </w:tcPr>
          <w:p>
            <w:pPr>
              <w:ind w:left="120"/>
              <w:spacing w:after="0" w:line="117" w:lineRule="exact"/>
              <w:rPr>
                <w:sz w:val="20"/>
                <w:szCs w:val="20"/>
                <w:color w:val="auto"/>
              </w:rPr>
            </w:pPr>
            <w:r>
              <w:rPr>
                <w:rFonts w:ascii="Times New Roman" w:cs="Times New Roman" w:eastAsia="Times New Roman" w:hAnsi="Times New Roman"/>
                <w:sz w:val="12"/>
                <w:szCs w:val="12"/>
                <w:color w:val="auto"/>
              </w:rPr>
              <w:t>(expense)</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2"/>
                <w:szCs w:val="12"/>
                <w:color w:val="auto"/>
              </w:rPr>
              <w:t>10,259 ​</w:t>
            </w:r>
          </w:p>
        </w:tc>
        <w:tc>
          <w:tcPr>
            <w:tcW w:w="3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2"/>
                <w:szCs w:val="12"/>
                <w:color w:val="auto"/>
              </w:rPr>
              <w:t>8,691</w:t>
            </w:r>
          </w:p>
        </w:tc>
        <w:tc>
          <w:tcPr>
            <w:tcW w:w="80" w:type="dxa"/>
            <w:vAlign w:val="bottom"/>
            <w:vMerge w:val="restart"/>
          </w:tcPr>
          <w:p>
            <w:pPr>
              <w:jc w:val="right"/>
              <w:ind w:right="5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tcPr>
          <w:p>
            <w:pPr>
              <w:ind w:left="40"/>
              <w:spacing w:after="0" w:line="117"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ind w:right="63"/>
              <w:spacing w:after="0" w:line="117" w:lineRule="exact"/>
              <w:rPr>
                <w:sz w:val="20"/>
                <w:szCs w:val="20"/>
                <w:color w:val="auto"/>
              </w:rPr>
            </w:pPr>
            <w:r>
              <w:rPr>
                <w:rFonts w:ascii="Times New Roman" w:cs="Times New Roman" w:eastAsia="Times New Roman" w:hAnsi="Times New Roman"/>
                <w:sz w:val="12"/>
                <w:szCs w:val="12"/>
                <w:color w:val="auto"/>
              </w:rPr>
              <w:t>3,104</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ind w:left="60"/>
              <w:spacing w:after="0" w:line="117"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ind w:right="2"/>
              <w:spacing w:after="0" w:line="117" w:lineRule="exact"/>
              <w:rPr>
                <w:sz w:val="20"/>
                <w:szCs w:val="20"/>
                <w:color w:val="auto"/>
              </w:rPr>
            </w:pPr>
            <w:r>
              <w:rPr>
                <w:rFonts w:ascii="Times New Roman" w:cs="Times New Roman" w:eastAsia="Times New Roman" w:hAnsi="Times New Roman"/>
                <w:sz w:val="12"/>
                <w:szCs w:val="12"/>
                <w:color w:val="auto"/>
              </w:rPr>
              <w:t>(390)</w:t>
            </w: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5"/>
          </w:tcPr>
          <w:p>
            <w:pPr>
              <w:jc w:val="right"/>
              <w:spacing w:after="0" w:line="117" w:lineRule="exact"/>
              <w:rPr>
                <w:sz w:val="20"/>
                <w:szCs w:val="20"/>
                <w:color w:val="auto"/>
              </w:rPr>
            </w:pPr>
            <w:r>
              <w:rPr>
                <w:rFonts w:ascii="Times New Roman" w:cs="Times New Roman" w:eastAsia="Times New Roman" w:hAnsi="Times New Roman"/>
                <w:sz w:val="12"/>
                <w:szCs w:val="12"/>
                <w:color w:val="auto"/>
              </w:rPr>
              <w:t>(19,458) ​ (38,657)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(75,612)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(70,034)</w:t>
            </w:r>
          </w:p>
        </w:tc>
        <w:tc>
          <w:tcPr>
            <w:tcW w:w="40" w:type="dxa"/>
            <w:vAlign w:val="bottom"/>
          </w:tcPr>
          <w:p>
            <w:pPr>
              <w:spacing w:after="0"/>
              <w:rPr>
                <w:sz w:val="10"/>
                <w:szCs w:val="10"/>
                <w:color w:val="auto"/>
              </w:rPr>
            </w:pPr>
          </w:p>
        </w:tc>
        <w:tc>
          <w:tcPr>
            <w:tcW w:w="8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2"/>
                <w:szCs w:val="12"/>
                <w:color w:val="auto"/>
              </w:rPr>
              <w:t>(149,398)​</w:t>
            </w:r>
          </w:p>
        </w:tc>
        <w:tc>
          <w:tcPr>
            <w:tcW w:w="5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2"/>
                <w:szCs w:val="12"/>
                <w:color w:val="auto"/>
              </w:rPr>
              <w:t>(158,321)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w w:val="97"/>
              </w:rPr>
              <w:t>(161,659)</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(58,129)</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54"/>
        </w:trPr>
        <w:tc>
          <w:tcPr>
            <w:tcW w:w="11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00" w:type="dxa"/>
            <w:vAlign w:val="bottom"/>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 w:type="dxa"/>
            <w:vAlign w:val="bottom"/>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6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80" w:type="dxa"/>
            <w:vAlign w:val="bottom"/>
          </w:tcPr>
          <w:p>
            <w:pPr>
              <w:spacing w:after="0"/>
              <w:rPr>
                <w:sz w:val="4"/>
                <w:szCs w:val="4"/>
                <w:color w:val="auto"/>
              </w:rPr>
            </w:pPr>
          </w:p>
        </w:tc>
        <w:tc>
          <w:tcPr>
            <w:tcW w:w="8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r>
              <w:rPr>
                <w:rFonts w:ascii="Times New Roman" w:cs="Times New Roman" w:eastAsia="Times New Roman" w:hAnsi="Times New Roman"/>
                <w:sz w:val="6"/>
                <w:szCs w:val="6"/>
                <w:color w:val="auto"/>
              </w:rPr>
              <w:t>​</w:t>
            </w:r>
          </w:p>
        </w:tc>
        <w:tc>
          <w:tcPr>
            <w:tcW w:w="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r>
              <w:rPr>
                <w:rFonts w:ascii="Times New Roman" w:cs="Times New Roman" w:eastAsia="Times New Roman" w:hAnsi="Times New Roman"/>
                <w:sz w:val="6"/>
                <w:szCs w:val="6"/>
                <w:color w:val="auto"/>
              </w:rPr>
              <w:t>​​</w:t>
            </w:r>
          </w:p>
        </w:tc>
        <w:tc>
          <w:tcPr>
            <w:tcW w:w="48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r>
              <w:rPr>
                <w:rFonts w:ascii="Times New Roman" w:cs="Times New Roman" w:eastAsia="Times New Roman" w:hAnsi="Times New Roman"/>
                <w:sz w:val="6"/>
                <w:szCs w:val="6"/>
                <w:color w:val="auto"/>
              </w:rPr>
              <w:t>​</w:t>
            </w:r>
          </w:p>
        </w:tc>
        <w:tc>
          <w:tcPr>
            <w:tcW w:w="1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(loss)/income</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gridSpan w:val="5"/>
            <w:shd w:val="clear" w:color="auto" w:fill="CCEEFF"/>
          </w:tcPr>
          <w:p>
            <w:pPr>
              <w:jc w:val="right"/>
              <w:ind w:right="51"/>
              <w:spacing w:after="0"/>
              <w:rPr>
                <w:sz w:val="20"/>
                <w:szCs w:val="20"/>
                <w:color w:val="auto"/>
              </w:rPr>
            </w:pPr>
            <w:r>
              <w:rPr>
                <w:rFonts w:ascii="Times New Roman" w:cs="Times New Roman" w:eastAsia="Times New Roman" w:hAnsi="Times New Roman"/>
                <w:sz w:val="12"/>
                <w:szCs w:val="12"/>
                <w:b w:val="1"/>
                <w:bCs w:val="1"/>
                <w:color w:val="auto"/>
              </w:rPr>
              <w:t>(33,954)​ (37,852)</w:t>
            </w:r>
          </w:p>
        </w:tc>
        <w:tc>
          <w:tcPr>
            <w:tcW w:w="600" w:type="dxa"/>
            <w:vAlign w:val="bottom"/>
            <w:tcBorders>
              <w:right w:val="single" w:sz="8" w:color="CCEEFF"/>
            </w:tcBorders>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b w:val="1"/>
                <w:bCs w:val="1"/>
                <w:color w:val="auto"/>
              </w:rPr>
              <w:t>​ (15,765)</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(3,145)</w:t>
            </w:r>
          </w:p>
        </w:tc>
        <w:tc>
          <w:tcPr>
            <w:tcW w:w="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64,169</w:t>
            </w:r>
          </w:p>
        </w:tc>
        <w:tc>
          <w:tcPr>
            <w:tcW w:w="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 129,044</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299,079</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310,274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595,102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628,721</w:t>
            </w:r>
          </w:p>
        </w:tc>
        <w:tc>
          <w:tcPr>
            <w:tcW w:w="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646,633</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52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644,135</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54"/>
        </w:trPr>
        <w:tc>
          <w:tcPr>
            <w:tcW w:w="112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20" w:type="dxa"/>
            <w:vAlign w:val="bottom"/>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500" w:type="dxa"/>
            <w:vAlign w:val="bottom"/>
            <w:tcBorders>
              <w:right w:val="single" w:sz="8" w:color="CCEEFF"/>
            </w:tcBorders>
            <w:shd w:val="clear" w:color="auto" w:fill="CCEEFF"/>
          </w:tcPr>
          <w:p>
            <w:pPr>
              <w:spacing w:after="0"/>
              <w:rPr>
                <w:sz w:val="4"/>
                <w:szCs w:val="4"/>
                <w:color w:val="auto"/>
              </w:rPr>
            </w:pPr>
          </w:p>
        </w:tc>
        <w:tc>
          <w:tcPr>
            <w:tcW w:w="80" w:type="dxa"/>
            <w:vAlign w:val="bottom"/>
            <w:tcBorders>
              <w:right w:val="single" w:sz="8" w:color="CCEEFF"/>
            </w:tcBorders>
            <w:vMerge w:val="continue"/>
            <w:shd w:val="clear" w:color="auto" w:fill="CCEEFF"/>
          </w:tcPr>
          <w:p>
            <w:pPr>
              <w:spacing w:after="0"/>
              <w:rPr>
                <w:sz w:val="4"/>
                <w:szCs w:val="4"/>
                <w:color w:val="auto"/>
              </w:rPr>
            </w:pPr>
          </w:p>
        </w:tc>
        <w:tc>
          <w:tcPr>
            <w:tcW w:w="120" w:type="dxa"/>
            <w:vAlign w:val="bottom"/>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60" w:type="dxa"/>
            <w:vAlign w:val="bottom"/>
            <w:shd w:val="clear" w:color="auto" w:fill="CCEEFF"/>
          </w:tcPr>
          <w:p>
            <w:pPr>
              <w:spacing w:after="0"/>
              <w:rPr>
                <w:sz w:val="4"/>
                <w:szCs w:val="4"/>
                <w:color w:val="auto"/>
              </w:rPr>
            </w:pPr>
          </w:p>
        </w:tc>
        <w:tc>
          <w:tcPr>
            <w:tcW w:w="120" w:type="dxa"/>
            <w:vAlign w:val="bottom"/>
            <w:gridSpan w:val="2"/>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0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80" w:type="dxa"/>
            <w:vAlign w:val="bottom"/>
            <w:shd w:val="clear" w:color="auto" w:fill="CCEEFF"/>
          </w:tcPr>
          <w:p>
            <w:pPr>
              <w:spacing w:after="0"/>
              <w:rPr>
                <w:sz w:val="4"/>
                <w:szCs w:val="4"/>
                <w:color w:val="auto"/>
              </w:rPr>
            </w:pPr>
          </w:p>
        </w:tc>
        <w:tc>
          <w:tcPr>
            <w:tcW w:w="8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8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tcBorders>
              <w:right w:val="single" w:sz="8" w:color="CCEEFF"/>
            </w:tcBorders>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480" w:type="dxa"/>
            <w:vAlign w:val="bottom"/>
            <w:shd w:val="clear" w:color="auto" w:fill="CCEEFF"/>
          </w:tcPr>
          <w:p>
            <w:pPr>
              <w:spacing w:after="0"/>
              <w:rPr>
                <w:sz w:val="4"/>
                <w:szCs w:val="4"/>
                <w:color w:val="auto"/>
              </w:rPr>
            </w:pPr>
          </w:p>
        </w:tc>
        <w:tc>
          <w:tcPr>
            <w:tcW w:w="6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62" w:lineRule="exact"/>
        <w:rPr>
          <w:sz w:val="20"/>
          <w:szCs w:val="20"/>
          <w:color w:val="auto"/>
        </w:rPr>
      </w:pPr>
    </w:p>
    <w:p>
      <w:pPr>
        <w:jc w:val="both"/>
        <w:ind w:left="1280" w:right="399" w:firstLine="360"/>
        <w:spacing w:after="0" w:line="244" w:lineRule="auto"/>
        <w:rPr>
          <w:sz w:val="20"/>
          <w:szCs w:val="20"/>
          <w:color w:val="auto"/>
        </w:rPr>
      </w:pPr>
      <w:r>
        <w:rPr>
          <w:rFonts w:ascii="Times New Roman" w:cs="Times New Roman" w:eastAsia="Times New Roman" w:hAnsi="Times New Roman"/>
          <w:sz w:val="18"/>
          <w:szCs w:val="18"/>
          <w:color w:val="auto"/>
        </w:rPr>
        <w:t>We consider adjusted net (loss)/income, a non -GAAP financial measure, as a supplemental measure to review and assess our operating performance. The presentation of this non-GAAP financial measure is not intended to be considered in isolation or as a substitute for the financial information prepared and presented in accordance with U.S. GAAP. We present this non-GAAP financial measure because it is used by our management to evaluate our operating performance and formulate business plans. We also believe that the use of this non-GAAP measure facilitates investors’ assessment of our operating performance.</w:t>
      </w:r>
    </w:p>
    <w:p>
      <w:pPr>
        <w:spacing w:after="0" w:line="114" w:lineRule="exact"/>
        <w:rPr>
          <w:sz w:val="20"/>
          <w:szCs w:val="20"/>
          <w:color w:val="auto"/>
        </w:rPr>
      </w:pPr>
    </w:p>
    <w:p>
      <w:pPr>
        <w:jc w:val="both"/>
        <w:ind w:left="1280" w:right="399" w:firstLine="360"/>
        <w:spacing w:after="0" w:line="244" w:lineRule="auto"/>
        <w:rPr>
          <w:sz w:val="20"/>
          <w:szCs w:val="20"/>
          <w:color w:val="auto"/>
        </w:rPr>
      </w:pPr>
      <w:r>
        <w:rPr>
          <w:rFonts w:ascii="Times New Roman" w:cs="Times New Roman" w:eastAsia="Times New Roman" w:hAnsi="Times New Roman"/>
          <w:sz w:val="18"/>
          <w:szCs w:val="18"/>
          <w:color w:val="auto"/>
        </w:rPr>
        <w:t>This non-GAAP financial measure is not defined under U.S. GAAP and is not presented in accordance with U.S. GAAP. This non-GAAP financial measure has limitations as an analytical tool. One of the key limitations of using this non-GAAP financial measure is that it does not reflect all items of income and expense that affect our operations. Further, this non-GAAP measure may differ from the non-GAAP information used by other companies, including peer companies, and therefore its comparability may be limited. We compensate for these limitations by reconciling this non -GAAP financial measures to the nearest U.S. GAAP performance measure, all of which should be considered when evaluating our performance. We encourage you to review our financial information in its entirety and not rely on a single financial measure.</w:t>
      </w:r>
    </w:p>
    <w:p>
      <w:pPr>
        <w:spacing w:after="0" w:line="328"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Our non-GAAP financial measure reflects adjustments for share-based compensation expense and fair value change of a forward contract related to Series B+ preferred shares. We believe that the exclusion of share-based compensation expense is appropriate because it eliminates the impact of non-cash expenses that are based upon valuation methodologies and assumptions that vary over time, and the amount of the expense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022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16245" cy="800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55" w:lineRule="auto"/>
        <w:rPr>
          <w:sz w:val="20"/>
          <w:szCs w:val="20"/>
          <w:color w:val="auto"/>
        </w:rPr>
      </w:pPr>
      <w:r>
        <w:rPr>
          <w:rFonts w:ascii="Times New Roman" w:cs="Times New Roman" w:eastAsia="Times New Roman" w:hAnsi="Times New Roman"/>
          <w:sz w:val="18"/>
          <w:szCs w:val="18"/>
          <w:color w:val="auto"/>
        </w:rPr>
        <w:t>can vary significantly between companies due to factors that are unrelated to their core operating performance and that can be outside of their control. Although we exclude share-based compensation expense from our non-GAAP measure, equity compensation has been, and will continue to be, an important part of our future compensation strategy and a significant component of our future expenses and may increase in future periods. Additionally, we believe excluding fair value change loss of a forward contract related to Series B+ preferred shares is appropriate because this loss is non-operational and non-cash, and is not anticipated to lead to future cash payments.</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Adjusted Net (Loss)/Income</w:t>
      </w:r>
    </w:p>
    <w:p>
      <w:pPr>
        <w:spacing w:after="0" w:line="162" w:lineRule="exact"/>
        <w:rPr>
          <w:sz w:val="20"/>
          <w:szCs w:val="20"/>
          <w:color w:val="auto"/>
        </w:rPr>
      </w:pPr>
    </w:p>
    <w:p>
      <w:pPr>
        <w:jc w:val="both"/>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We define adjusted net (loss)/income as net (loss)/income excluding share-based compensation expense and the fair value change of a forward contract related to Series B+ preferred shares.</w:t>
      </w:r>
    </w:p>
    <w:p>
      <w:pPr>
        <w:spacing w:after="0" w:line="94" w:lineRule="exact"/>
        <w:rPr>
          <w:sz w:val="20"/>
          <w:szCs w:val="20"/>
          <w:color w:val="auto"/>
        </w:rPr>
      </w:pPr>
    </w:p>
    <w:p>
      <w:pPr>
        <w:jc w:val="both"/>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The following table reconciles our adjusted net (loss)/income for the years indicated to the most directly comparable financial measure calculated and presented in accordance with U.S. GAAP, which is net (loss)/​income. There is no tax effect on non-GAAP adjustments, which consist of share-based compensation expenses recorded by the Company and certain PRC subsidiaries of the Company, as well as fair value change of forward contract related to Series B+ preferred shares recorded by Chagee Holdings Limited. Those PRC entities’ share-based compensation expenses were non-deductible pursuant to PRC tax laws. Chagee Holdings Limited, as a company incorporated in Cayman Islands, is not subject to tax on income.</w:t>
      </w:r>
    </w:p>
    <w:p>
      <w:pPr>
        <w:spacing w:after="0" w:line="128" w:lineRule="exact"/>
        <w:rPr>
          <w:sz w:val="20"/>
          <w:szCs w:val="20"/>
          <w:color w:val="auto"/>
        </w:rPr>
      </w:pPr>
    </w:p>
    <w:tbl>
      <w:tblPr>
        <w:tblLayout w:type="fixed"/>
        <w:tblInd w:w="1280" w:type="dxa"/>
        <w:tblCellMar>
          <w:top w:w="0" w:type="dxa"/>
          <w:left w:w="0" w:type="dxa"/>
          <w:bottom w:w="0" w:type="dxa"/>
          <w:right w:w="0" w:type="dxa"/>
        </w:tblCellMar>
      </w:tblPr>
      <w:tr>
        <w:trPr>
          <w:trHeight w:val="214"/>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1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28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8"/>
                <w:szCs w:val="18"/>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Pr>
          <w:p>
            <w:pPr>
              <w:spacing w:after="0"/>
              <w:rPr>
                <w:sz w:val="18"/>
                <w:szCs w:val="18"/>
                <w:color w:val="auto"/>
              </w:rPr>
            </w:pPr>
          </w:p>
        </w:tc>
        <w:tc>
          <w:tcPr>
            <w:tcW w:w="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8"/>
                <w:szCs w:val="18"/>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RMB</w:t>
            </w:r>
          </w:p>
        </w:tc>
        <w:tc>
          <w:tcPr>
            <w:tcW w:w="880" w:type="dxa"/>
            <w:vAlign w:val="bottom"/>
            <w:gridSpan w:val="5"/>
          </w:tcPr>
          <w:p>
            <w:pPr>
              <w:ind w:left="4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RMB</w:t>
            </w:r>
          </w:p>
        </w:tc>
        <w:tc>
          <w:tcPr>
            <w:tcW w:w="800" w:type="dxa"/>
            <w:vAlign w:val="bottom"/>
            <w:gridSpan w:val="5"/>
          </w:tcPr>
          <w:p>
            <w:pPr>
              <w:ind w:left="40"/>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 ​   </w:t>
            </w:r>
            <w:r>
              <w:rPr>
                <w:rFonts w:ascii="Times New Roman" w:cs="Times New Roman" w:eastAsia="Times New Roman" w:hAnsi="Times New Roman"/>
                <w:sz w:val="24"/>
                <w:szCs w:val="24"/>
                <w:b w:val="1"/>
                <w:bCs w:val="1"/>
                <w:color w:val="auto"/>
                <w:vertAlign w:val="superscript"/>
              </w:rPr>
              <w:t>US$</w:t>
            </w:r>
            <w:r>
              <w:rPr>
                <w:rFonts w:ascii="Times New Roman" w:cs="Times New Roman" w:eastAsia="Times New Roman" w:hAnsi="Times New Roman"/>
                <w:sz w:val="13"/>
                <w:szCs w:val="13"/>
                <w:b w:val="1"/>
                <w:bCs w:val="1"/>
                <w:color w:val="auto"/>
              </w:rPr>
              <w:t xml:space="preserve">   ​</w:t>
            </w:r>
          </w:p>
        </w:tc>
        <w:tc>
          <w:tcPr>
            <w:tcW w:w="0" w:type="dxa"/>
            <w:vAlign w:val="bottom"/>
          </w:tcPr>
          <w:p>
            <w:pPr>
              <w:spacing w:after="0"/>
              <w:rPr>
                <w:sz w:val="1"/>
                <w:szCs w:val="1"/>
                <w:color w:val="auto"/>
              </w:rPr>
            </w:pPr>
          </w:p>
        </w:tc>
      </w:tr>
      <w:tr>
        <w:trPr>
          <w:trHeight w:val="209"/>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20" w:type="dxa"/>
            <w:vAlign w:val="bottom"/>
            <w:gridSpan w:val="1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(90,716​​​)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802,566​​​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2,514,591​​​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344,498​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 Share based compensation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700" w:type="dxa"/>
            <w:vAlign w:val="bottom"/>
            <w:gridSpan w:val="10"/>
          </w:tcPr>
          <w:p>
            <w:pPr>
              <w:jc w:val="right"/>
              <w:ind w:right="260"/>
              <w:spacing w:after="0"/>
              <w:rPr>
                <w:sz w:val="20"/>
                <w:szCs w:val="20"/>
                <w:color w:val="auto"/>
              </w:rPr>
            </w:pPr>
            <w:r>
              <w:rPr>
                <w:rFonts w:ascii="Times New Roman" w:cs="Times New Roman" w:eastAsia="Times New Roman" w:hAnsi="Times New Roman"/>
                <w:sz w:val="18"/>
                <w:szCs w:val="18"/>
                <w:color w:val="auto"/>
              </w:rPr>
              <w:t>3,944​​​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10,516​​​</w:t>
            </w:r>
            <w:r>
              <w:rPr>
                <w:rFonts w:ascii="Times New Roman" w:cs="Times New Roman" w:eastAsia="Times New Roman" w:hAnsi="Times New Roman"/>
                <w:sz w:val="18"/>
                <w:szCs w:val="18"/>
                <w:b w:val="1"/>
                <w:bCs w:val="1"/>
                <w:color w:val="auto"/>
              </w:rPr>
              <w:t>​</w:t>
            </w:r>
          </w:p>
        </w:tc>
        <w:tc>
          <w:tcPr>
            <w:tcW w:w="88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603​​​</w:t>
            </w: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1"/>
        </w:trPr>
        <w:tc>
          <w:tcPr>
            <w:tcW w:w="44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of forward contract related to Series B+</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tcBorders>
              <w:right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00" w:type="dxa"/>
            <w:vAlign w:val="bottom"/>
            <w:tcBorders>
              <w:right w:val="single" w:sz="8" w:color="CCEEFF"/>
            </w:tcBorders>
            <w:shd w:val="clear" w:color="auto" w:fill="CCEEFF"/>
          </w:tcPr>
          <w:p>
            <w:pPr>
              <w:spacing w:after="0"/>
              <w:rPr>
                <w:sz w:val="21"/>
                <w:szCs w:val="21"/>
                <w:color w:val="auto"/>
              </w:rPr>
            </w:pPr>
          </w:p>
        </w:tc>
        <w:tc>
          <w:tcPr>
            <w:tcW w:w="1400" w:type="dxa"/>
            <w:vAlign w:val="bottom"/>
            <w:gridSpan w:val="9"/>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105,483​​​</w:t>
            </w:r>
            <w:r>
              <w:rPr>
                <w:rFonts w:ascii="Times New Roman" w:cs="Times New Roman" w:eastAsia="Times New Roman" w:hAnsi="Times New Roman"/>
                <w:sz w:val="18"/>
                <w:szCs w:val="18"/>
                <w:b w:val="1"/>
                <w:bCs w:val="1"/>
                <w:color w:val="auto"/>
              </w:rPr>
              <w:t>​</w:t>
            </w:r>
          </w:p>
        </w:tc>
        <w:tc>
          <w:tcPr>
            <w:tcW w:w="88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net (loss)/income</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​(86,772)</w:t>
            </w:r>
          </w:p>
        </w:tc>
        <w:tc>
          <w:tcPr>
            <w:tcW w:w="50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85"/>
              </w:rPr>
              <w:t>​918,565</w:t>
            </w:r>
          </w:p>
        </w:tc>
        <w:tc>
          <w:tcPr>
            <w:tcW w:w="140" w:type="dxa"/>
            <w:vAlign w:val="bottom"/>
          </w:tcPr>
          <w:p>
            <w:pPr>
              <w:spacing w:after="0"/>
              <w:rPr>
                <w:sz w:val="17"/>
                <w:szCs w:val="17"/>
                <w:color w:val="auto"/>
              </w:rPr>
            </w:pPr>
          </w:p>
        </w:tc>
        <w:tc>
          <w:tcPr>
            <w:tcW w:w="74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w w:val="97"/>
              </w:rPr>
              <w:t>​2,515,194</w:t>
            </w:r>
          </w:p>
        </w:tc>
        <w:tc>
          <w:tcPr>
            <w:tcW w:w="140" w:type="dxa"/>
            <w:vAlign w:val="bottom"/>
          </w:tcPr>
          <w:p>
            <w:pPr>
              <w:spacing w:after="0"/>
              <w:rPr>
                <w:sz w:val="17"/>
                <w:szCs w:val="17"/>
                <w:color w:val="auto"/>
              </w:rPr>
            </w:pPr>
          </w:p>
        </w:tc>
        <w:tc>
          <w:tcPr>
            <w:tcW w:w="6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​344,581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0"/>
        </w:trPr>
        <w:tc>
          <w:tcPr>
            <w:tcW w:w="1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gridSpan w:val="2"/>
          </w:tcPr>
          <w:p>
            <w:pPr>
              <w:ind w:left="280"/>
              <w:spacing w:after="0" w:line="21" w:lineRule="exact"/>
              <w:rPr>
                <w:sz w:val="20"/>
                <w:szCs w:val="20"/>
                <w:color w:val="auto"/>
              </w:rPr>
            </w:pPr>
            <w:r>
              <w:rPr>
                <w:rFonts w:ascii="Times New Roman" w:cs="Times New Roman" w:eastAsia="Times New Roman" w:hAnsi="Times New Roman"/>
                <w:sz w:val="2"/>
                <w:szCs w:val="2"/>
                <w:b w:val="1"/>
                <w:bCs w:val="1"/>
                <w:color w:val="auto"/>
              </w:rPr>
              <w:t>​​​</w:t>
            </w: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gridSpan w:val="2"/>
          </w:tcPr>
          <w:p>
            <w:pPr>
              <w:jc w:val="center"/>
              <w:ind w:right="19"/>
              <w:spacing w:after="0" w:line="21" w:lineRule="exact"/>
              <w:rPr>
                <w:sz w:val="20"/>
                <w:szCs w:val="20"/>
                <w:color w:val="auto"/>
              </w:rPr>
            </w:pPr>
            <w:r>
              <w:rPr>
                <w:rFonts w:ascii="Times New Roman" w:cs="Times New Roman" w:eastAsia="Times New Roman" w:hAnsi="Times New Roman"/>
                <w:sz w:val="2"/>
                <w:szCs w:val="2"/>
                <w:b w:val="1"/>
                <w:bCs w:val="1"/>
                <w:color w:val="auto"/>
              </w:rPr>
              <w:t>​​​​</w:t>
            </w: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gridSpan w:val="3"/>
          </w:tcPr>
          <w:p>
            <w:pPr>
              <w:jc w:val="right"/>
              <w:ind w:right="260"/>
              <w:spacing w:after="0" w:line="21" w:lineRule="exact"/>
              <w:rPr>
                <w:sz w:val="20"/>
                <w:szCs w:val="20"/>
                <w:color w:val="auto"/>
              </w:rPr>
            </w:pPr>
            <w:r>
              <w:rPr>
                <w:rFonts w:ascii="Times New Roman" w:cs="Times New Roman" w:eastAsia="Times New Roman" w:hAnsi="Times New Roman"/>
                <w:sz w:val="2"/>
                <w:szCs w:val="2"/>
                <w:b w:val="1"/>
                <w:bCs w:val="1"/>
                <w:color w:val="auto"/>
              </w:rPr>
              <w:t>​​​​</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gridSpan w:val="3"/>
          </w:tcPr>
          <w:p>
            <w:pPr>
              <w:jc w:val="right"/>
              <w:ind w:right="260"/>
              <w:spacing w:after="0" w:line="21" w:lineRule="exact"/>
              <w:rPr>
                <w:sz w:val="20"/>
                <w:szCs w:val="20"/>
                <w:color w:val="auto"/>
              </w:rPr>
            </w:pPr>
            <w:r>
              <w:rPr>
                <w:rFonts w:ascii="Times New Roman" w:cs="Times New Roman" w:eastAsia="Times New Roman" w:hAnsi="Times New Roman"/>
                <w:sz w:val="2"/>
                <w:szCs w:val="2"/>
                <w:b w:val="1"/>
                <w:bCs w:val="1"/>
                <w:color w:val="auto"/>
              </w:rPr>
              <w:t>​​​​</w:t>
            </w:r>
          </w:p>
        </w:tc>
        <w:tc>
          <w:tcPr>
            <w:tcW w:w="2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Operating Data</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1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460" w:type="dxa"/>
            <w:vAlign w:val="bottom"/>
            <w:gridSpan w:val="18"/>
          </w:tcPr>
          <w:p>
            <w:pPr>
              <w:ind w:left="360"/>
              <w:spacing w:after="0"/>
              <w:rPr>
                <w:sz w:val="20"/>
                <w:szCs w:val="20"/>
                <w:color w:val="auto"/>
              </w:rPr>
            </w:pPr>
            <w:r>
              <w:rPr>
                <w:rFonts w:ascii="Times New Roman" w:cs="Times New Roman" w:eastAsia="Times New Roman" w:hAnsi="Times New Roman"/>
                <w:sz w:val="18"/>
                <w:szCs w:val="18"/>
                <w:color w:val="auto"/>
              </w:rPr>
              <w:t>The following table sets forth our key operating data.</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0" w:type="dxa"/>
            <w:vAlign w:val="bottom"/>
            <w:gridSpan w:val="38"/>
          </w:tcPr>
          <w:p>
            <w:pPr>
              <w:ind w:left="40"/>
              <w:spacing w:after="0"/>
              <w:rPr>
                <w:sz w:val="20"/>
                <w:szCs w:val="20"/>
                <w:color w:val="auto"/>
              </w:rPr>
            </w:pPr>
            <w:r>
              <w:rPr>
                <w:rFonts w:ascii="Times New Roman" w:cs="Times New Roman" w:eastAsia="Times New Roman" w:hAnsi="Times New Roman"/>
                <w:sz w:val="14"/>
                <w:szCs w:val="14"/>
                <w:b w:val="1"/>
                <w:bCs w:val="1"/>
                <w:color w:val="auto"/>
              </w:rPr>
              <w:t>​​FY2023 ​​FY2024 ​​1Q22 ​​2Q22 ​​3Q22 ​​4Q22 ​​1Q23 ​​2Q23 ​​3Q23 ​​4Q23 ​​1Q24 ​​2Q24 ​​3Q24 ​​4Q24 ​</w:t>
            </w:r>
          </w:p>
        </w:tc>
        <w:tc>
          <w:tcPr>
            <w:tcW w:w="0" w:type="dxa"/>
            <w:vAlign w:val="bottom"/>
          </w:tcPr>
          <w:p>
            <w:pPr>
              <w:spacing w:after="0"/>
              <w:rPr>
                <w:sz w:val="1"/>
                <w:szCs w:val="1"/>
                <w:color w:val="auto"/>
              </w:rPr>
            </w:pPr>
          </w:p>
        </w:tc>
      </w:tr>
      <w:tr>
        <w:trPr>
          <w:trHeight w:val="20"/>
        </w:trPr>
        <w:tc>
          <w:tcPr>
            <w:tcW w:w="1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Number of Teahouses</w:t>
            </w:r>
          </w:p>
        </w:tc>
        <w:tc>
          <w:tcPr>
            <w:tcW w:w="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gridSpan w:val="3"/>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gridSpan w:val="3"/>
            <w:shd w:val="clear" w:color="auto" w:fill="000000"/>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8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440" w:type="dxa"/>
            <w:vAlign w:val="bottom"/>
            <w:tcBorders>
              <w:right w:val="single" w:sz="8" w:color="auto"/>
            </w:tcBorders>
            <w:gridSpan w:val="3"/>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80" w:type="dxa"/>
            <w:vAlign w:val="bottom"/>
            <w:tcBorders>
              <w:left w:val="single" w:sz="8" w:color="CCEEFF"/>
              <w:right w:val="single" w:sz="8" w:color="CCEEFF"/>
            </w:tcBorders>
            <w:gridSpan w:val="3"/>
            <w:shd w:val="clear" w:color="auto" w:fill="000000"/>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420" w:type="dxa"/>
            <w:vAlign w:val="bottom"/>
            <w:tcBorders>
              <w:right w:val="single" w:sz="8" w:color="CCEEFF"/>
            </w:tcBorders>
            <w:gridSpan w:val="3"/>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60" w:type="dxa"/>
            <w:vAlign w:val="bottom"/>
            <w:vMerge w:val="continue"/>
            <w:shd w:val="clear" w:color="auto" w:fill="CCEEFF"/>
          </w:tcPr>
          <w:p>
            <w:pPr>
              <w:spacing w:after="0"/>
              <w:rPr>
                <w:sz w:val="15"/>
                <w:szCs w:val="15"/>
                <w:color w:val="auto"/>
              </w:rPr>
            </w:pPr>
          </w:p>
        </w:tc>
        <w:tc>
          <w:tcPr>
            <w:tcW w:w="5520" w:type="dxa"/>
            <w:vAlign w:val="bottom"/>
            <w:tcBorders>
              <w:right w:val="single" w:sz="8" w:color="CCEEFF"/>
            </w:tcBorders>
            <w:gridSpan w:val="32"/>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b w:val="1"/>
                <w:bCs w:val="1"/>
                <w:color w:val="auto"/>
              </w:rPr>
              <w:t>​​​ 3,511​​​​ 6,440​​​ ​493 ​​​ ​596 ​​​ ​756 ​​​​1,087​​​1,303​​​1,913​​​2,637​​​3,511​​​4,083​​​4,996​​​5,828​​​6,440​</w:t>
            </w:r>
          </w:p>
        </w:tc>
        <w:tc>
          <w:tcPr>
            <w:tcW w:w="420" w:type="dxa"/>
            <w:vAlign w:val="bottom"/>
            <w:tcBorders>
              <w:right w:val="single" w:sz="8" w:color="CCEEFF"/>
            </w:tcBorders>
            <w:gridSpan w:val="3"/>
            <w:shd w:val="clear" w:color="auto" w:fill="CCEEFF"/>
          </w:tcPr>
          <w:p>
            <w:pPr>
              <w:spacing w:after="0"/>
              <w:rPr>
                <w:sz w:val="15"/>
                <w:szCs w:val="15"/>
                <w:color w:val="auto"/>
              </w:rPr>
            </w:pPr>
          </w:p>
        </w:tc>
        <w:tc>
          <w:tcPr>
            <w:tcW w:w="400" w:type="dxa"/>
            <w:vAlign w:val="bottom"/>
            <w:gridSpan w:val="2"/>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By operating model</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spacing w:after="0"/>
              <w:rPr>
                <w:sz w:val="16"/>
                <w:szCs w:val="16"/>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6"/>
                <w:szCs w:val="16"/>
                <w:color w:val="auto"/>
              </w:rPr>
            </w:pPr>
          </w:p>
        </w:tc>
        <w:tc>
          <w:tcPr>
            <w:tcW w:w="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20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w:t>
            </w:r>
          </w:p>
        </w:tc>
        <w:tc>
          <w:tcPr>
            <w:tcW w:w="20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Company-owned</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teahouses</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26 ​​​ </w:t>
            </w: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r>
              <w:rPr>
                <w:rFonts w:ascii="Times New Roman" w:cs="Times New Roman" w:eastAsia="Times New Roman" w:hAnsi="Times New Roman"/>
                <w:sz w:val="16"/>
                <w:szCs w:val="16"/>
                <w:b w:val="1"/>
                <w:bCs w:val="1"/>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r>
              <w:rPr>
                <w:rFonts w:ascii="Times New Roman" w:cs="Times New Roman" w:eastAsia="Times New Roman" w:hAnsi="Times New Roman"/>
                <w:sz w:val="16"/>
                <w:szCs w:val="16"/>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118​​</w:t>
            </w:r>
            <w:r>
              <w:rPr>
                <w:rFonts w:ascii="Times New Roman" w:cs="Times New Roman" w:eastAsia="Times New Roman" w:hAnsi="Times New Roman"/>
                <w:sz w:val="16"/>
                <w:szCs w:val="16"/>
                <w:b w:val="1"/>
                <w:bCs w:val="1"/>
                <w:color w:val="auto"/>
              </w:rPr>
              <w:t>​</w:t>
            </w: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152​​</w:t>
            </w: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Franchised teahouses</w:t>
            </w:r>
          </w:p>
        </w:tc>
        <w:tc>
          <w:tcPr>
            <w:tcW w:w="72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3,472 ​​​</w:t>
            </w:r>
            <w:r>
              <w:rPr>
                <w:rFonts w:ascii="Times New Roman" w:cs="Times New Roman" w:eastAsia="Times New Roman" w:hAnsi="Times New Roman"/>
                <w:sz w:val="16"/>
                <w:szCs w:val="16"/>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6,271</w:t>
            </w:r>
          </w:p>
        </w:tc>
        <w:tc>
          <w:tcPr>
            <w:tcW w:w="4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472</w:t>
            </w:r>
          </w:p>
        </w:tc>
        <w:tc>
          <w:tcPr>
            <w:tcW w:w="100" w:type="dxa"/>
            <w:vAlign w:val="bottom"/>
          </w:tcPr>
          <w:p>
            <w:pPr>
              <w:spacing w:after="0"/>
              <w:rPr>
                <w:sz w:val="17"/>
                <w:szCs w:val="17"/>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570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728</w:t>
            </w:r>
          </w:p>
        </w:tc>
        <w:tc>
          <w:tcPr>
            <w:tcW w:w="40" w:type="dxa"/>
            <w:vAlign w:val="bottom"/>
          </w:tcPr>
          <w:p>
            <w:pPr>
              <w:spacing w:after="0"/>
              <w:rPr>
                <w:sz w:val="17"/>
                <w:szCs w:val="17"/>
                <w:color w:val="auto"/>
              </w:rPr>
            </w:pPr>
          </w:p>
        </w:tc>
        <w:tc>
          <w:tcPr>
            <w:tcW w:w="3900" w:type="dxa"/>
            <w:vAlign w:val="bottom"/>
            <w:gridSpan w:val="21"/>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1,057​​</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1,275​​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1,880​​</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2,603​​</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3,472​​</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4,025​​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4,878​​</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5,676​​</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6,271​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By geographical region</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spacing w:after="0"/>
              <w:rPr>
                <w:sz w:val="17"/>
                <w:szCs w:val="17"/>
                <w:color w:val="auto"/>
              </w:rPr>
            </w:pPr>
          </w:p>
        </w:tc>
        <w:tc>
          <w:tcPr>
            <w:tcW w:w="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2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w:t>
            </w:r>
          </w:p>
        </w:tc>
        <w:tc>
          <w:tcPr>
            <w:tcW w:w="2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Southwestern China</w:t>
            </w:r>
          </w:p>
        </w:tc>
        <w:tc>
          <w:tcPr>
            <w:tcW w:w="72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1,108 ​​​</w:t>
            </w:r>
            <w:r>
              <w:rPr>
                <w:rFonts w:ascii="Times New Roman" w:cs="Times New Roman" w:eastAsia="Times New Roman" w:hAnsi="Times New Roman"/>
                <w:sz w:val="16"/>
                <w:szCs w:val="16"/>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1,339</w:t>
            </w:r>
          </w:p>
        </w:tc>
        <w:tc>
          <w:tcPr>
            <w:tcW w:w="4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438</w:t>
            </w:r>
          </w:p>
        </w:tc>
        <w:tc>
          <w:tcPr>
            <w:tcW w:w="100" w:type="dxa"/>
            <w:vAlign w:val="bottom"/>
          </w:tcPr>
          <w:p>
            <w:pPr>
              <w:spacing w:after="0"/>
              <w:rPr>
                <w:sz w:val="17"/>
                <w:szCs w:val="17"/>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494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555</w:t>
            </w:r>
          </w:p>
        </w:tc>
        <w:tc>
          <w:tcPr>
            <w:tcW w:w="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661​​</w:t>
            </w:r>
            <w:r>
              <w:rPr>
                <w:rFonts w:ascii="Times New Roman" w:cs="Times New Roman" w:eastAsia="Times New Roman" w:hAnsi="Times New Roman"/>
                <w:sz w:val="16"/>
                <w:szCs w:val="16"/>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726​​</w:t>
            </w:r>
            <w:r>
              <w:rPr>
                <w:rFonts w:ascii="Times New Roman" w:cs="Times New Roman" w:eastAsia="Times New Roman" w:hAnsi="Times New Roman"/>
                <w:sz w:val="16"/>
                <w:szCs w:val="16"/>
                <w:b w:val="1"/>
                <w:bCs w:val="1"/>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859​​</w:t>
            </w:r>
            <w:r>
              <w:rPr>
                <w:rFonts w:ascii="Times New Roman" w:cs="Times New Roman" w:eastAsia="Times New Roman" w:hAnsi="Times New Roman"/>
                <w:sz w:val="16"/>
                <w:szCs w:val="16"/>
                <w:b w:val="1"/>
                <w:bCs w:val="1"/>
                <w:color w:val="auto"/>
              </w:rPr>
              <w:t>​</w:t>
            </w:r>
          </w:p>
        </w:tc>
        <w:tc>
          <w:tcPr>
            <w:tcW w:w="2480" w:type="dxa"/>
            <w:vAlign w:val="bottom"/>
            <w:gridSpan w:val="14"/>
          </w:tcPr>
          <w:p>
            <w:pPr>
              <w:jc w:val="right"/>
              <w:spacing w:after="0"/>
              <w:rPr>
                <w:sz w:val="20"/>
                <w:szCs w:val="20"/>
                <w:color w:val="auto"/>
              </w:rPr>
            </w:pPr>
            <w:r>
              <w:rPr>
                <w:rFonts w:ascii="Times New Roman" w:cs="Times New Roman" w:eastAsia="Times New Roman" w:hAnsi="Times New Roman"/>
                <w:sz w:val="16"/>
                <w:szCs w:val="16"/>
                <w:color w:val="auto"/>
              </w:rPr>
              <w:t>972​​</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1,108​​</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1,191​​</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1,272​​</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1,303​​</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1,339​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Eastern China</w:t>
            </w:r>
          </w:p>
        </w:tc>
        <w:tc>
          <w:tcPr>
            <w:tcW w:w="7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1,054 ​​​</w:t>
            </w: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1,945</w:t>
            </w: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30 ​​​ </w:t>
            </w: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r>
              <w:rPr>
                <w:rFonts w:ascii="Times New Roman" w:cs="Times New Roman" w:eastAsia="Times New Roman" w:hAnsi="Times New Roman"/>
                <w:sz w:val="16"/>
                <w:szCs w:val="16"/>
                <w:b w:val="1"/>
                <w:bCs w:val="1"/>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r>
              <w:rPr>
                <w:rFonts w:ascii="Times New Roman" w:cs="Times New Roman" w:eastAsia="Times New Roman" w:hAnsi="Times New Roman"/>
                <w:sz w:val="16"/>
                <w:szCs w:val="16"/>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r>
              <w:rPr>
                <w:rFonts w:ascii="Times New Roman" w:cs="Times New Roman" w:eastAsia="Times New Roman" w:hAnsi="Times New Roman"/>
                <w:sz w:val="16"/>
                <w:szCs w:val="16"/>
                <w:b w:val="1"/>
                <w:bCs w:val="1"/>
                <w:color w:val="auto"/>
              </w:rPr>
              <w:t>​</w:t>
            </w:r>
          </w:p>
        </w:tc>
        <w:tc>
          <w:tcPr>
            <w:tcW w:w="2480" w:type="dxa"/>
            <w:vAlign w:val="bottom"/>
            <w:gridSpan w:val="1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1,054​​</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1,234​​</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1,495​​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1,763​​</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1,945​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Central China</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1,178</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18 ​​​ </w:t>
            </w: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w:t>
            </w:r>
            <w:r>
              <w:rPr>
                <w:rFonts w:ascii="Times New Roman" w:cs="Times New Roman" w:eastAsia="Times New Roman" w:hAnsi="Times New Roman"/>
                <w:sz w:val="16"/>
                <w:szCs w:val="16"/>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w:t>
            </w:r>
            <w:r>
              <w:rPr>
                <w:rFonts w:ascii="Times New Roman" w:cs="Times New Roman" w:eastAsia="Times New Roman" w:hAnsi="Times New Roman"/>
                <w:sz w:val="16"/>
                <w:szCs w:val="16"/>
                <w:b w:val="1"/>
                <w:bCs w:val="1"/>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w:t>
            </w:r>
            <w:r>
              <w:rPr>
                <w:rFonts w:ascii="Times New Roman" w:cs="Times New Roman" w:eastAsia="Times New Roman" w:hAnsi="Times New Roman"/>
                <w:sz w:val="16"/>
                <w:szCs w:val="16"/>
                <w:b w:val="1"/>
                <w:bCs w:val="1"/>
                <w:color w:val="auto"/>
              </w:rPr>
              <w:t>​</w:t>
            </w:r>
          </w:p>
        </w:tc>
        <w:tc>
          <w:tcPr>
            <w:tcW w:w="2480" w:type="dxa"/>
            <w:vAlign w:val="bottom"/>
            <w:gridSpan w:val="14"/>
          </w:tcPr>
          <w:p>
            <w:pPr>
              <w:jc w:val="right"/>
              <w:spacing w:after="0"/>
              <w:rPr>
                <w:sz w:val="20"/>
                <w:szCs w:val="20"/>
                <w:color w:val="auto"/>
              </w:rPr>
            </w:pPr>
            <w:r>
              <w:rPr>
                <w:rFonts w:ascii="Times New Roman" w:cs="Times New Roman" w:eastAsia="Times New Roman" w:hAnsi="Times New Roman"/>
                <w:sz w:val="16"/>
                <w:szCs w:val="16"/>
                <w:color w:val="auto"/>
              </w:rPr>
              <w:t>345​​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554​​</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683​​</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893​​</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1,065​​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1,178​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Southern China</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12 ​​​ </w:t>
            </w: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r>
              <w:rPr>
                <w:rFonts w:ascii="Times New Roman" w:cs="Times New Roman" w:eastAsia="Times New Roman" w:hAnsi="Times New Roman"/>
                <w:sz w:val="16"/>
                <w:szCs w:val="16"/>
                <w:b w:val="1"/>
                <w:bCs w:val="1"/>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r>
              <w:rPr>
                <w:rFonts w:ascii="Times New Roman" w:cs="Times New Roman" w:eastAsia="Times New Roman" w:hAnsi="Times New Roman"/>
                <w:sz w:val="16"/>
                <w:szCs w:val="16"/>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r>
              <w:rPr>
                <w:rFonts w:ascii="Times New Roman" w:cs="Times New Roman" w:eastAsia="Times New Roman" w:hAnsi="Times New Roman"/>
                <w:sz w:val="16"/>
                <w:szCs w:val="16"/>
                <w:b w:val="1"/>
                <w:bCs w:val="1"/>
                <w:color w:val="auto"/>
              </w:rPr>
              <w:t>​</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r>
              <w:rPr>
                <w:rFonts w:ascii="Times New Roman" w:cs="Times New Roman" w:eastAsia="Times New Roman" w:hAnsi="Times New Roman"/>
                <w:sz w:val="16"/>
                <w:szCs w:val="16"/>
                <w:b w:val="1"/>
                <w:bCs w:val="1"/>
                <w:color w:val="auto"/>
              </w:rPr>
              <w:t>​</w:t>
            </w:r>
          </w:p>
        </w:tc>
        <w:tc>
          <w:tcPr>
            <w:tcW w:w="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539​​</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688​​</w:t>
            </w:r>
            <w:r>
              <w:rPr>
                <w:rFonts w:ascii="Times New Roman" w:cs="Times New Roman" w:eastAsia="Times New Roman" w:hAnsi="Times New Roman"/>
                <w:sz w:val="16"/>
                <w:szCs w:val="16"/>
                <w:b w:val="1"/>
                <w:bCs w:val="1"/>
                <w:color w:val="auto"/>
              </w:rPr>
              <w:t>​</w:t>
            </w: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846​​</w:t>
            </w: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regions in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China</w:t>
            </w:r>
            <w:r>
              <w:rPr>
                <w:rFonts w:ascii="Times New Roman" w:cs="Times New Roman" w:eastAsia="Times New Roman" w:hAnsi="Times New Roman"/>
                <w:sz w:val="19"/>
                <w:szCs w:val="19"/>
                <w:color w:val="auto"/>
                <w:vertAlign w:val="superscript"/>
              </w:rPr>
              <w:t>(1)</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r>
              <w:rPr>
                <w:rFonts w:ascii="Times New Roman" w:cs="Times New Roman" w:eastAsia="Times New Roman" w:hAnsi="Times New Roman"/>
                <w:sz w:val="16"/>
                <w:szCs w:val="16"/>
                <w:b w:val="1"/>
                <w:bCs w:val="1"/>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w:t>
            </w:r>
            <w:r>
              <w:rPr>
                <w:rFonts w:ascii="Times New Roman" w:cs="Times New Roman" w:eastAsia="Times New Roman" w:hAnsi="Times New Roman"/>
                <w:sz w:val="16"/>
                <w:szCs w:val="16"/>
                <w:b w:val="1"/>
                <w:bCs w:val="1"/>
                <w:color w:val="auto"/>
              </w:rPr>
              <w:t>​</w:t>
            </w:r>
          </w:p>
        </w:tc>
        <w:tc>
          <w:tcPr>
            <w:tcW w:w="2540" w:type="dxa"/>
            <w:vAlign w:val="bottom"/>
            <w:gridSpan w:val="15"/>
          </w:tcPr>
          <w:p>
            <w:pPr>
              <w:jc w:val="right"/>
              <w:spacing w:after="0"/>
              <w:rPr>
                <w:sz w:val="20"/>
                <w:szCs w:val="20"/>
                <w:color w:val="auto"/>
              </w:rPr>
            </w:pPr>
            <w:r>
              <w:rPr>
                <w:rFonts w:ascii="Times New Roman" w:cs="Times New Roman" w:eastAsia="Times New Roman" w:hAnsi="Times New Roman"/>
                <w:sz w:val="16"/>
                <w:szCs w:val="16"/>
                <w:color w:val="auto"/>
              </w:rPr>
              <w:t>142​​</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262​​</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342​​</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533​​</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715​​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869​</w:t>
            </w:r>
          </w:p>
        </w:tc>
        <w:tc>
          <w:tcPr>
            <w:tcW w:w="0" w:type="dxa"/>
            <w:vAlign w:val="bottom"/>
          </w:tcPr>
          <w:p>
            <w:pPr>
              <w:spacing w:after="0"/>
              <w:rPr>
                <w:sz w:val="1"/>
                <w:szCs w:val="1"/>
                <w:color w:val="auto"/>
              </w:rPr>
            </w:pPr>
          </w:p>
        </w:tc>
      </w:tr>
      <w:tr>
        <w:trPr>
          <w:trHeight w:val="203"/>
        </w:trPr>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Overseas</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42 ​​​ </w:t>
            </w: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r>
              <w:rPr>
                <w:rFonts w:ascii="Times New Roman" w:cs="Times New Roman" w:eastAsia="Times New Roman" w:hAnsi="Times New Roman"/>
                <w:sz w:val="16"/>
                <w:szCs w:val="16"/>
                <w:b w:val="1"/>
                <w:bCs w:val="1"/>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r>
              <w:rPr>
                <w:rFonts w:ascii="Times New Roman" w:cs="Times New Roman" w:eastAsia="Times New Roman" w:hAnsi="Times New Roman"/>
                <w:sz w:val="16"/>
                <w:szCs w:val="16"/>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94​​</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115​​</w:t>
            </w:r>
            <w:r>
              <w:rPr>
                <w:rFonts w:ascii="Times New Roman" w:cs="Times New Roman" w:eastAsia="Times New Roman" w:hAnsi="Times New Roman"/>
                <w:sz w:val="16"/>
                <w:szCs w:val="16"/>
                <w:b w:val="1"/>
                <w:bCs w:val="1"/>
                <w:color w:val="auto"/>
              </w:rPr>
              <w:t>​</w:t>
            </w: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136​​</w:t>
            </w: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GMV generated in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China and overseas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(RMB in million)</w:t>
            </w:r>
          </w:p>
        </w:tc>
        <w:tc>
          <w:tcPr>
            <w:tcW w:w="2600" w:type="dxa"/>
            <w:vAlign w:val="bottom"/>
            <w:gridSpan w:val="17"/>
          </w:tcPr>
          <w:p>
            <w:pPr>
              <w:ind w:left="40"/>
              <w:spacing w:after="0"/>
              <w:rPr>
                <w:sz w:val="20"/>
                <w:szCs w:val="20"/>
                <w:color w:val="auto"/>
              </w:rPr>
            </w:pPr>
            <w:r>
              <w:rPr>
                <w:rFonts w:ascii="Times New Roman" w:cs="Times New Roman" w:eastAsia="Times New Roman" w:hAnsi="Times New Roman"/>
                <w:sz w:val="16"/>
                <w:szCs w:val="16"/>
                <w:b w:val="1"/>
                <w:bCs w:val="1"/>
                <w:color w:val="auto"/>
              </w:rPr>
              <w:t>​​​10,793​​​​29,458​​​ ​194 ​​​ ​222 ​​​ ​372 ​​​​</w:t>
            </w:r>
          </w:p>
        </w:tc>
        <w:tc>
          <w:tcPr>
            <w:tcW w:w="3800" w:type="dxa"/>
            <w:vAlign w:val="bottom"/>
            <w:gridSpan w:val="21"/>
          </w:tcPr>
          <w:p>
            <w:pPr>
              <w:jc w:val="right"/>
              <w:spacing w:after="0"/>
              <w:rPr>
                <w:sz w:val="20"/>
                <w:szCs w:val="20"/>
                <w:color w:val="auto"/>
              </w:rPr>
            </w:pPr>
            <w:r>
              <w:rPr>
                <w:rFonts w:ascii="Times New Roman" w:cs="Times New Roman" w:eastAsia="Times New Roman" w:hAnsi="Times New Roman"/>
                <w:sz w:val="16"/>
                <w:szCs w:val="16"/>
                <w:b w:val="1"/>
                <w:bCs w:val="1"/>
                <w:color w:val="auto"/>
              </w:rPr>
              <w:t>506​​​1,052​​​1,673​​​3,213​​​4,854​​​5,962​​​7,017​​​8,301​​​8,177​</w:t>
            </w:r>
          </w:p>
        </w:tc>
        <w:tc>
          <w:tcPr>
            <w:tcW w:w="0" w:type="dxa"/>
            <w:vAlign w:val="bottom"/>
          </w:tcPr>
          <w:p>
            <w:pPr>
              <w:spacing w:after="0"/>
              <w:rPr>
                <w:sz w:val="1"/>
                <w:szCs w:val="1"/>
                <w:color w:val="auto"/>
              </w:rPr>
            </w:pPr>
          </w:p>
        </w:tc>
      </w:tr>
      <w:tr>
        <w:trPr>
          <w:trHeight w:val="187"/>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7"/>
              </w:rPr>
              <w:t>Average monthly GMV per</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teahouse in China</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(RMB in thousand)</w:t>
            </w:r>
            <w:r>
              <w:rPr>
                <w:rFonts w:ascii="Times New Roman" w:cs="Times New Roman" w:eastAsia="Times New Roman" w:hAnsi="Times New Roman"/>
                <w:sz w:val="19"/>
                <w:szCs w:val="19"/>
                <w:b w:val="1"/>
                <w:bCs w:val="1"/>
                <w:color w:val="auto"/>
                <w:vertAlign w:val="superscript"/>
              </w:rPr>
              <w:t>(2)</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483​​​​</w:t>
            </w:r>
          </w:p>
        </w:tc>
        <w:tc>
          <w:tcPr>
            <w:tcW w:w="1880" w:type="dxa"/>
            <w:vAlign w:val="bottom"/>
            <w:gridSpan w:val="1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512​​​ ​140 ​​​ ​134 ​​​ ​193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365​​​</w:t>
            </w:r>
          </w:p>
        </w:tc>
        <w:tc>
          <w:tcPr>
            <w:tcW w:w="2480" w:type="dxa"/>
            <w:vAlign w:val="bottom"/>
            <w:gridSpan w:val="14"/>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510​​​ 574​​​ 549​​​ 538​​​ 528​​​ 456​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Southwestern China</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4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141</w:t>
            </w:r>
          </w:p>
        </w:tc>
        <w:tc>
          <w:tcPr>
            <w:tcW w:w="100" w:type="dxa"/>
            <w:vAlign w:val="bottom"/>
          </w:tcPr>
          <w:p>
            <w:pPr>
              <w:spacing w:after="0"/>
              <w:rPr>
                <w:sz w:val="17"/>
                <w:szCs w:val="17"/>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130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180</w:t>
            </w:r>
          </w:p>
        </w:tc>
        <w:tc>
          <w:tcPr>
            <w:tcW w:w="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w:t>
            </w:r>
            <w:r>
              <w:rPr>
                <w:rFonts w:ascii="Times New Roman" w:cs="Times New Roman" w:eastAsia="Times New Roman" w:hAnsi="Times New Roman"/>
                <w:sz w:val="16"/>
                <w:szCs w:val="16"/>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258​​</w:t>
            </w:r>
            <w:r>
              <w:rPr>
                <w:rFonts w:ascii="Times New Roman" w:cs="Times New Roman" w:eastAsia="Times New Roman" w:hAnsi="Times New Roman"/>
                <w:sz w:val="16"/>
                <w:szCs w:val="16"/>
                <w:b w:val="1"/>
                <w:bCs w:val="1"/>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258​​</w:t>
            </w:r>
            <w:r>
              <w:rPr>
                <w:rFonts w:ascii="Times New Roman" w:cs="Times New Roman" w:eastAsia="Times New Roman" w:hAnsi="Times New Roman"/>
                <w:sz w:val="16"/>
                <w:szCs w:val="16"/>
                <w:b w:val="1"/>
                <w:bCs w:val="1"/>
                <w:color w:val="auto"/>
              </w:rPr>
              <w:t>​</w:t>
            </w:r>
          </w:p>
        </w:tc>
        <w:tc>
          <w:tcPr>
            <w:tcW w:w="2480" w:type="dxa"/>
            <w:vAlign w:val="bottom"/>
            <w:gridSpan w:val="14"/>
          </w:tcPr>
          <w:p>
            <w:pPr>
              <w:jc w:val="right"/>
              <w:spacing w:after="0"/>
              <w:rPr>
                <w:sz w:val="20"/>
                <w:szCs w:val="20"/>
                <w:color w:val="auto"/>
              </w:rPr>
            </w:pPr>
            <w:r>
              <w:rPr>
                <w:rFonts w:ascii="Times New Roman" w:cs="Times New Roman" w:eastAsia="Times New Roman" w:hAnsi="Times New Roman"/>
                <w:sz w:val="16"/>
                <w:szCs w:val="16"/>
                <w:color w:val="auto"/>
              </w:rPr>
              <w:t>354​​</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380​​</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402​​</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403​​</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421​​</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380​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Eastern China</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100</w:t>
            </w:r>
          </w:p>
        </w:tc>
        <w:tc>
          <w:tcPr>
            <w:tcW w:w="10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235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344</w:t>
            </w:r>
          </w:p>
        </w:tc>
        <w:tc>
          <w:tcPr>
            <w:tcW w:w="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r>
              <w:rPr>
                <w:rFonts w:ascii="Times New Roman" w:cs="Times New Roman" w:eastAsia="Times New Roman" w:hAnsi="Times New Roman"/>
                <w:sz w:val="16"/>
                <w:szCs w:val="16"/>
                <w:b w:val="1"/>
                <w:bCs w:val="1"/>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r>
              <w:rPr>
                <w:rFonts w:ascii="Times New Roman" w:cs="Times New Roman" w:eastAsia="Times New Roman" w:hAnsi="Times New Roman"/>
                <w:sz w:val="16"/>
                <w:szCs w:val="16"/>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r>
              <w:rPr>
                <w:rFonts w:ascii="Times New Roman" w:cs="Times New Roman" w:eastAsia="Times New Roman" w:hAnsi="Times New Roman"/>
                <w:sz w:val="16"/>
                <w:szCs w:val="16"/>
                <w:b w:val="1"/>
                <w:bCs w:val="1"/>
                <w:color w:val="auto"/>
              </w:rPr>
              <w:t>​</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r>
              <w:rPr>
                <w:rFonts w:ascii="Times New Roman" w:cs="Times New Roman" w:eastAsia="Times New Roman" w:hAnsi="Times New Roman"/>
                <w:sz w:val="16"/>
                <w:szCs w:val="16"/>
                <w:b w:val="1"/>
                <w:bCs w:val="1"/>
                <w:color w:val="auto"/>
              </w:rPr>
              <w:t>​</w:t>
            </w:r>
          </w:p>
        </w:tc>
        <w:tc>
          <w:tcPr>
            <w:tcW w:w="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618​​</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588​​</w:t>
            </w:r>
            <w:r>
              <w:rPr>
                <w:rFonts w:ascii="Times New Roman" w:cs="Times New Roman" w:eastAsia="Times New Roman" w:hAnsi="Times New Roman"/>
                <w:sz w:val="16"/>
                <w:szCs w:val="16"/>
                <w:b w:val="1"/>
                <w:bCs w:val="1"/>
                <w:color w:val="auto"/>
              </w:rPr>
              <w:t>​</w:t>
            </w: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566​​</w:t>
            </w: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1280" w:type="dxa"/>
        <w:tblCellMar>
          <w:top w:w="0" w:type="dxa"/>
          <w:left w:w="0" w:type="dxa"/>
          <w:bottom w:w="0" w:type="dxa"/>
          <w:right w:w="0" w:type="dxa"/>
        </w:tblCellMar>
      </w:tblPr>
      <w:tr>
        <w:trPr>
          <w:trHeight w:val="200"/>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0" w:type="dxa"/>
            <w:vAlign w:val="bottom"/>
            <w:gridSpan w:val="27"/>
          </w:tcPr>
          <w:p>
            <w:pPr>
              <w:ind w:left="40"/>
              <w:spacing w:after="0"/>
              <w:rPr>
                <w:sz w:val="20"/>
                <w:szCs w:val="20"/>
                <w:color w:val="auto"/>
              </w:rPr>
            </w:pPr>
            <w:r>
              <w:rPr>
                <w:rFonts w:ascii="Times New Roman" w:cs="Times New Roman" w:eastAsia="Times New Roman" w:hAnsi="Times New Roman"/>
                <w:sz w:val="14"/>
                <w:szCs w:val="14"/>
                <w:b w:val="1"/>
                <w:bCs w:val="1"/>
                <w:color w:val="auto"/>
              </w:rPr>
              <w:t>​​FY2023 ​​FY2024 ​​1Q22 ​​2Q22 ​​3Q22 ​​4Q22 ​​1Q23 ​​2Q23 ​​ 3Q23 ​​ 4Q23 ​​ 1Q24 ​​2Q24 ​​3Q24 ​​4Q24 ​</w:t>
            </w:r>
          </w:p>
        </w:tc>
        <w:tc>
          <w:tcPr>
            <w:tcW w:w="0" w:type="dxa"/>
            <w:vAlign w:val="bottom"/>
          </w:tcPr>
          <w:p>
            <w:pPr>
              <w:spacing w:after="0"/>
              <w:rPr>
                <w:sz w:val="1"/>
                <w:szCs w:val="1"/>
                <w:color w:val="auto"/>
              </w:rPr>
            </w:pPr>
          </w:p>
        </w:tc>
      </w:tr>
      <w:tr>
        <w:trPr>
          <w:trHeight w:val="20"/>
        </w:trPr>
        <w:tc>
          <w:tcPr>
            <w:tcW w:w="18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Central China</w:t>
            </w: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460" w:type="dxa"/>
            <w:vAlign w:val="bottom"/>
            <w:tcBorders>
              <w:right w:val="single" w:sz="8" w:color="CCEEFF"/>
            </w:tcBorders>
            <w:gridSpan w:val="2"/>
            <w:shd w:val="clear" w:color="auto" w:fill="000000"/>
          </w:tcPr>
          <w:p>
            <w:pPr>
              <w:spacing w:after="0" w:line="20" w:lineRule="exact"/>
              <w:rPr>
                <w:sz w:val="1"/>
                <w:szCs w:val="1"/>
                <w:color w:val="auto"/>
              </w:rPr>
            </w:pPr>
          </w:p>
        </w:tc>
        <w:tc>
          <w:tcPr>
            <w:tcW w:w="46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60" w:type="dxa"/>
            <w:vAlign w:val="bottom"/>
            <w:vMerge w:val="continue"/>
            <w:shd w:val="clear" w:color="auto" w:fill="CCEEFF"/>
          </w:tcPr>
          <w:p>
            <w:pPr>
              <w:spacing w:after="0"/>
              <w:rPr>
                <w:sz w:val="15"/>
                <w:szCs w:val="15"/>
                <w:color w:val="auto"/>
              </w:rPr>
            </w:pPr>
          </w:p>
        </w:tc>
        <w:tc>
          <w:tcPr>
            <w:tcW w:w="200" w:type="dxa"/>
            <w:vAlign w:val="bottom"/>
            <w:gridSpan w:val="2"/>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tcBorders>
              <w:right w:val="single" w:sz="8" w:color="CCEEFF"/>
            </w:tcBorders>
            <w:shd w:val="clear" w:color="auto" w:fill="CCEEFF"/>
          </w:tcPr>
          <w:p>
            <w:pPr>
              <w:jc w:val="right"/>
              <w:ind w:right="19"/>
              <w:spacing w:after="0" w:line="183" w:lineRule="exact"/>
              <w:rPr>
                <w:sz w:val="20"/>
                <w:szCs w:val="20"/>
                <w:color w:val="auto"/>
              </w:rPr>
            </w:pPr>
            <w:r>
              <w:rPr>
                <w:rFonts w:ascii="Times New Roman" w:cs="Times New Roman" w:eastAsia="Times New Roman" w:hAnsi="Times New Roman"/>
                <w:sz w:val="16"/>
                <w:szCs w:val="16"/>
                <w:color w:val="auto"/>
              </w:rPr>
              <w:t>423</w:t>
            </w:r>
          </w:p>
        </w:tc>
        <w:tc>
          <w:tcPr>
            <w:tcW w:w="1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60" w:type="dxa"/>
            <w:vAlign w:val="bottom"/>
            <w:tcBorders>
              <w:right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409</w:t>
            </w:r>
          </w:p>
        </w:tc>
        <w:tc>
          <w:tcPr>
            <w:tcW w:w="120" w:type="dxa"/>
            <w:vAlign w:val="bottom"/>
            <w:vMerge w:val="continue"/>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32</w:t>
            </w:r>
          </w:p>
        </w:tc>
        <w:tc>
          <w:tcPr>
            <w:tcW w:w="420" w:type="dxa"/>
            <w:vAlign w:val="bottom"/>
            <w:tcBorders>
              <w:right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215</w:t>
            </w:r>
          </w:p>
        </w:tc>
        <w:tc>
          <w:tcPr>
            <w:tcW w:w="420" w:type="dxa"/>
            <w:vAlign w:val="bottom"/>
            <w:tcBorders>
              <w:right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198</w:t>
            </w:r>
          </w:p>
        </w:tc>
        <w:tc>
          <w:tcPr>
            <w:tcW w:w="400" w:type="dxa"/>
            <w:vAlign w:val="bottom"/>
            <w:tcBorders>
              <w:right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160​​</w:t>
            </w:r>
          </w:p>
        </w:tc>
        <w:tc>
          <w:tcPr>
            <w:tcW w:w="1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Borders>
              <w:right w:val="single" w:sz="8" w:color="CCEEFF"/>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color w:val="auto"/>
                <w:w w:val="99"/>
              </w:rPr>
              <w:t>280​​</w:t>
            </w:r>
          </w:p>
        </w:tc>
        <w:tc>
          <w:tcPr>
            <w:tcW w:w="440" w:type="dxa"/>
            <w:vAlign w:val="bottom"/>
            <w:tcBorders>
              <w:right w:val="single" w:sz="8" w:color="CCEEFF"/>
            </w:tcBorders>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307​​</w:t>
            </w:r>
          </w:p>
        </w:tc>
        <w:tc>
          <w:tcPr>
            <w:tcW w:w="460" w:type="dxa"/>
            <w:vAlign w:val="bottom"/>
            <w:tcBorders>
              <w:right w:val="single" w:sz="8" w:color="CCEEFF"/>
            </w:tcBorders>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448​​</w:t>
            </w:r>
          </w:p>
        </w:tc>
        <w:tc>
          <w:tcPr>
            <w:tcW w:w="460" w:type="dxa"/>
            <w:vAlign w:val="bottom"/>
            <w:tcBorders>
              <w:right w:val="single" w:sz="8" w:color="CCEEFF"/>
            </w:tcBorders>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478​​</w:t>
            </w:r>
          </w:p>
        </w:tc>
        <w:tc>
          <w:tcPr>
            <w:tcW w:w="1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right w:val="single" w:sz="8" w:color="CCEEFF"/>
            </w:tcBorders>
            <w:shd w:val="clear" w:color="auto" w:fill="CCEEFF"/>
          </w:tcPr>
          <w:p>
            <w:pPr>
              <w:ind w:left="80"/>
              <w:spacing w:after="0" w:line="183" w:lineRule="exact"/>
              <w:rPr>
                <w:sz w:val="20"/>
                <w:szCs w:val="20"/>
                <w:color w:val="auto"/>
              </w:rPr>
            </w:pPr>
            <w:r>
              <w:rPr>
                <w:rFonts w:ascii="Times New Roman" w:cs="Times New Roman" w:eastAsia="Times New Roman" w:hAnsi="Times New Roman"/>
                <w:sz w:val="16"/>
                <w:szCs w:val="16"/>
                <w:color w:val="auto"/>
                <w:w w:val="99"/>
              </w:rPr>
              <w:t>445​​</w:t>
            </w:r>
          </w:p>
        </w:tc>
        <w:tc>
          <w:tcPr>
            <w:tcW w:w="400" w:type="dxa"/>
            <w:vAlign w:val="bottom"/>
            <w:tcBorders>
              <w:right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422​​</w:t>
            </w:r>
          </w:p>
        </w:tc>
        <w:tc>
          <w:tcPr>
            <w:tcW w:w="1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right w:val="single" w:sz="8" w:color="CCEEFF"/>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w w:val="99"/>
              </w:rPr>
              <w:t>426​​</w:t>
            </w:r>
          </w:p>
        </w:tc>
        <w:tc>
          <w:tcPr>
            <w:tcW w:w="1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Southern China</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103</w:t>
            </w: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166</w:t>
            </w: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235</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256​​</w:t>
            </w: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399​​</w:t>
            </w:r>
            <w:r>
              <w:rPr>
                <w:rFonts w:ascii="Times New Roman" w:cs="Times New Roman" w:eastAsia="Times New Roman" w:hAnsi="Times New Roman"/>
                <w:sz w:val="16"/>
                <w:szCs w:val="16"/>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502​​</w:t>
            </w:r>
            <w:r>
              <w:rPr>
                <w:rFonts w:ascii="Times New Roman" w:cs="Times New Roman" w:eastAsia="Times New Roman" w:hAnsi="Times New Roman"/>
                <w:sz w:val="16"/>
                <w:szCs w:val="16"/>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740​​</w:t>
            </w:r>
            <w:r>
              <w:rPr>
                <w:rFonts w:ascii="Times New Roman" w:cs="Times New Roman" w:eastAsia="Times New Roman" w:hAnsi="Times New Roman"/>
                <w:sz w:val="16"/>
                <w:szCs w:val="16"/>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820​​</w:t>
            </w:r>
            <w:r>
              <w:rPr>
                <w:rFonts w:ascii="Times New Roman" w:cs="Times New Roman" w:eastAsia="Times New Roman" w:hAnsi="Times New Roman"/>
                <w:sz w:val="16"/>
                <w:szCs w:val="16"/>
                <w:b w:val="1"/>
                <w:bCs w:val="1"/>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750​​</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755​​</w:t>
            </w: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705​​</w:t>
            </w:r>
            <w:r>
              <w:rPr>
                <w:rFonts w:ascii="Times New Roman" w:cs="Times New Roman" w:eastAsia="Times New Roman" w:hAnsi="Times New Roman"/>
                <w:sz w:val="16"/>
                <w:szCs w:val="16"/>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regions in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China</w:t>
            </w:r>
            <w:r>
              <w:rPr>
                <w:rFonts w:ascii="Times New Roman" w:cs="Times New Roman" w:eastAsia="Times New Roman" w:hAnsi="Times New Roman"/>
                <w:sz w:val="19"/>
                <w:szCs w:val="19"/>
                <w:color w:val="auto"/>
                <w:vertAlign w:val="superscript"/>
              </w:rPr>
              <w:t>(1)</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r>
              <w:rPr>
                <w:rFonts w:ascii="Times New Roman" w:cs="Times New Roman" w:eastAsia="Times New Roman" w:hAnsi="Times New Roman"/>
                <w:sz w:val="16"/>
                <w:szCs w:val="16"/>
                <w:b w:val="1"/>
                <w:bCs w:val="1"/>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r>
              <w:rPr>
                <w:rFonts w:ascii="Times New Roman" w:cs="Times New Roman" w:eastAsia="Times New Roman" w:hAnsi="Times New Roman"/>
                <w:sz w:val="16"/>
                <w:szCs w:val="16"/>
                <w:b w:val="1"/>
                <w:bCs w:val="1"/>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r>
              <w:rPr>
                <w:rFonts w:ascii="Times New Roman" w:cs="Times New Roman" w:eastAsia="Times New Roman" w:hAnsi="Times New Roman"/>
                <w:sz w:val="16"/>
                <w:szCs w:val="16"/>
                <w:b w:val="1"/>
                <w:bCs w:val="1"/>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652​​</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7"/>
              </w:rPr>
              <w:t>Same store GMV growth in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8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China and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8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overseas (%)</w:t>
            </w:r>
            <w:r>
              <w:rPr>
                <w:rFonts w:ascii="Times New Roman" w:cs="Times New Roman" w:eastAsia="Times New Roman" w:hAnsi="Times New Roman"/>
                <w:sz w:val="19"/>
                <w:szCs w:val="19"/>
                <w:b w:val="1"/>
                <w:bCs w:val="1"/>
                <w:color w:val="auto"/>
                <w:vertAlign w:val="superscript"/>
              </w:rPr>
              <w:t>(3)</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94.9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w:t>
            </w:r>
          </w:p>
        </w:tc>
        <w:tc>
          <w:tcPr>
            <w:tcW w:w="14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 ​ — ​​​ ​ — ​​​ ​ — ​​​​</w:t>
            </w:r>
          </w:p>
        </w:tc>
        <w:tc>
          <w:tcPr>
            <w:tcW w:w="12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 50.3​​​ 66.6​​​</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70.4​​​156.9​​​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46.0​​​38.0​​​</w:t>
            </w:r>
          </w:p>
        </w:tc>
        <w:tc>
          <w:tcPr>
            <w:tcW w:w="7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1.5​​​(18.4​)</w:t>
            </w: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Southwestern China</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2180" w:type="dxa"/>
            <w:vAlign w:val="bottom"/>
            <w:gridSpan w:val="10"/>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56.1​​</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68.0​​</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67.4​​</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120.0​​</w:t>
            </w:r>
            <w:r>
              <w:rPr>
                <w:rFonts w:ascii="Times New Roman" w:cs="Times New Roman" w:eastAsia="Times New Roman" w:hAnsi="Times New Roman"/>
                <w:sz w:val="16"/>
                <w:szCs w:val="16"/>
                <w:b w:val="1"/>
                <w:bCs w:val="1"/>
                <w:color w:val="auto"/>
              </w:rPr>
              <w:t>​</w:t>
            </w:r>
          </w:p>
        </w:tc>
        <w:tc>
          <w:tcPr>
            <w:tcW w:w="1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49.0​​</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15.2​​</w:t>
            </w: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Eastern China</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182.8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184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 xml:space="preserve">(9.6)​​​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2180" w:type="dxa"/>
            <w:vAlign w:val="bottom"/>
            <w:gridSpan w:val="10"/>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196.8​​</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178.5​​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96.3​​</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229.4​​</w:t>
            </w:r>
            <w:r>
              <w:rPr>
                <w:rFonts w:ascii="Times New Roman" w:cs="Times New Roman" w:eastAsia="Times New Roman" w:hAnsi="Times New Roman"/>
                <w:sz w:val="16"/>
                <w:szCs w:val="16"/>
                <w:b w:val="1"/>
                <w:bCs w:val="1"/>
                <w:color w:val="auto"/>
              </w:rPr>
              <w:t>​</w:t>
            </w:r>
          </w:p>
        </w:tc>
        <w:tc>
          <w:tcPr>
            <w:tcW w:w="158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28.5​​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17.0​​</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(10.3​​)</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(27.3​)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Central China</w:t>
            </w:r>
          </w:p>
        </w:tc>
        <w:tc>
          <w:tcPr>
            <w:tcW w:w="620" w:type="dxa"/>
            <w:vAlign w:val="bottom"/>
            <w:tcBorders>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292.5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18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180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90.5​​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146.9​​</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506.6​​</w:t>
            </w:r>
            <w:r>
              <w:rPr>
                <w:rFonts w:ascii="Times New Roman" w:cs="Times New Roman" w:eastAsia="Times New Roman" w:hAnsi="Times New Roman"/>
                <w:sz w:val="16"/>
                <w:szCs w:val="16"/>
                <w:b w:val="1"/>
                <w:bCs w:val="1"/>
                <w:color w:val="auto"/>
              </w:rPr>
              <w:t>​</w:t>
            </w:r>
          </w:p>
        </w:tc>
        <w:tc>
          <w:tcPr>
            <w:tcW w:w="15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47.5​​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(3.1​​)</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Southern China</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270.6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4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3040" w:type="dxa"/>
            <w:vAlign w:val="bottom"/>
            <w:gridSpan w:val="13"/>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140.4​​</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144.5​​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164.7​​</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404.1​​</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115.9​​</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75.3​​</w:t>
            </w:r>
            <w:r>
              <w:rPr>
                <w:rFonts w:ascii="Times New Roman" w:cs="Times New Roman" w:eastAsia="Times New Roman" w:hAnsi="Times New Roman"/>
                <w:sz w:val="16"/>
                <w:szCs w:val="16"/>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8.7​​</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(14.7​)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regions in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China</w:t>
            </w:r>
            <w:r>
              <w:rPr>
                <w:rFonts w:ascii="Times New Roman" w:cs="Times New Roman" w:eastAsia="Times New Roman" w:hAnsi="Times New Roman"/>
                <w:sz w:val="19"/>
                <w:szCs w:val="19"/>
                <w:color w:val="auto"/>
                <w:vertAlign w:val="superscript"/>
              </w:rPr>
              <w:t>(1)</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238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(26.3)​​​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180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15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20.3​​</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(17.7​​)</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Overseas</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24.5 ​​​</w:t>
            </w:r>
            <w:r>
              <w:rPr>
                <w:rFonts w:ascii="Times New Roman" w:cs="Times New Roman" w:eastAsia="Times New Roman" w:hAnsi="Times New Roman"/>
                <w:sz w:val="16"/>
                <w:szCs w:val="16"/>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4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w:t>
            </w:r>
            <w:r>
              <w:rPr>
                <w:rFonts w:ascii="Times New Roman" w:cs="Times New Roman" w:eastAsia="Times New Roman" w:hAnsi="Times New Roman"/>
                <w:sz w:val="16"/>
                <w:szCs w:val="16"/>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w:t>
            </w:r>
            <w:r>
              <w:rPr>
                <w:rFonts w:ascii="Times New Roman" w:cs="Times New Roman" w:eastAsia="Times New Roman" w:hAnsi="Times New Roman"/>
                <w:sz w:val="16"/>
                <w:szCs w:val="16"/>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w:t>
            </w:r>
            <w:r>
              <w:rPr>
                <w:rFonts w:ascii="Times New Roman" w:cs="Times New Roman" w:eastAsia="Times New Roman" w:hAnsi="Times New Roman"/>
                <w:sz w:val="16"/>
                <w:szCs w:val="16"/>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70.6​​</w:t>
            </w:r>
            <w:r>
              <w:rPr>
                <w:rFonts w:ascii="Times New Roman" w:cs="Times New Roman" w:eastAsia="Times New Roman" w:hAnsi="Times New Roman"/>
                <w:sz w:val="16"/>
                <w:szCs w:val="16"/>
                <w:b w:val="1"/>
                <w:bCs w:val="1"/>
                <w:color w:val="auto"/>
              </w:rPr>
              <w:t>​</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49.8​​</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60.0​​</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57.6​​</w:t>
            </w:r>
            <w:r>
              <w:rPr>
                <w:rFonts w:ascii="Times New Roman" w:cs="Times New Roman" w:eastAsia="Times New Roman" w:hAnsi="Times New Roman"/>
                <w:sz w:val="16"/>
                <w:szCs w:val="16"/>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Notes:</w:t>
      </w:r>
    </w:p>
    <w:p>
      <w:pPr>
        <w:spacing w:after="0" w:line="100" w:lineRule="exact"/>
        <w:rPr>
          <w:sz w:val="20"/>
          <w:szCs w:val="20"/>
          <w:color w:val="auto"/>
        </w:rPr>
      </w:pPr>
    </w:p>
    <w:p>
      <w:pPr>
        <w:ind w:left="1640" w:right="399" w:hanging="362"/>
        <w:spacing w:after="0" w:line="271" w:lineRule="auto"/>
        <w:tabs>
          <w:tab w:leader="none" w:pos="1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Refers to other regions in China except Southwestern China, Eastern China, Central China and Southern China, including Hong Kong.</w:t>
      </w:r>
    </w:p>
    <w:p>
      <w:pPr>
        <w:spacing w:after="0" w:line="236" w:lineRule="exact"/>
        <w:rPr>
          <w:rFonts w:ascii="Times New Roman" w:cs="Times New Roman" w:eastAsia="Times New Roman" w:hAnsi="Times New Roman"/>
          <w:sz w:val="14"/>
          <w:szCs w:val="14"/>
          <w:color w:val="auto"/>
        </w:rPr>
      </w:pPr>
    </w:p>
    <w:p>
      <w:pPr>
        <w:jc w:val="both"/>
        <w:ind w:left="1640" w:right="399" w:hanging="362"/>
        <w:spacing w:after="0" w:line="284" w:lineRule="auto"/>
        <w:tabs>
          <w:tab w:leader="none" w:pos="1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quarter within a given year, the average monthly GMV per teahouse is calculated by dividing (i) the sum of GMV generated by the monthly fully operational teahouses in each calendar month during that specific quarter by (ii) the sum of the total number of the monthly fully operational teahouses in each calendar month during that specific quarter. Unlike other operating metrics outlined in the table above, the computation and presentation of average monthly GMV per teahouse exclude overseas teahouses.</w:t>
      </w:r>
    </w:p>
    <w:p>
      <w:pPr>
        <w:spacing w:after="0" w:line="210" w:lineRule="exact"/>
        <w:rPr>
          <w:rFonts w:ascii="Times New Roman" w:cs="Times New Roman" w:eastAsia="Times New Roman" w:hAnsi="Times New Roman"/>
          <w:sz w:val="14"/>
          <w:szCs w:val="14"/>
          <w:color w:val="auto"/>
        </w:rPr>
      </w:pPr>
    </w:p>
    <w:p>
      <w:pPr>
        <w:jc w:val="both"/>
        <w:ind w:left="1640" w:right="399" w:hanging="362"/>
        <w:spacing w:after="0" w:line="281" w:lineRule="auto"/>
        <w:tabs>
          <w:tab w:leader="none" w:pos="1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quarter within a given year, the term ‘‘same store GMV growth” refers to the growth rate of GMV generated by ‘‘same stores” in China and/or overseas during that specific quarter compared to GMV generated by these ‘‘same stores” during the corresponding quarter in the preceding year. We define ‘‘same stores” to be teahouses that (i) had been in operation for at least 13 months, and (ii) without material operational changes in both comparison periods.</w:t>
      </w:r>
    </w:p>
    <w:p>
      <w:pPr>
        <w:spacing w:after="0" w:line="101"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The overall operating scale and results of our teahouse network have significantly expanded since 2022, as measured by the substantial increases in both the number of teahouses and the total GMV generated by these teahouses.</w:t>
      </w:r>
    </w:p>
    <w:p>
      <w:pPr>
        <w:spacing w:after="0" w:line="108" w:lineRule="exact"/>
        <w:rPr>
          <w:sz w:val="20"/>
          <w:szCs w:val="20"/>
          <w:color w:val="auto"/>
        </w:rPr>
      </w:pPr>
    </w:p>
    <w:p>
      <w:pPr>
        <w:jc w:val="both"/>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During the early stage of our expansion, where our teahouse penetration was relatively low and the supply was limited, the high demand from consumers contributed to strong store-level performance of our teahouses. As we continued to scale and expand the scope and density of our teahouse network across China, the consumer demands have been better fulfilled while our store-level performance has also naturally begun to follow a normalized growth trajectory, as reflected in the decrease in average monthly GMV per teahouse in China in recent quarters and the deceleration in quarterly same-store GMV growth or decline. Specifically, our average monthly GMV per teahouse in China decreased over the last four quarters from RMB574 thousand in the last quarter of 2023 to RMB456 thousand in the last quarter of 2024. The growth rate for same-store GMV in China and overseas was 2.7% in 2024, compared to 94.9% in 2023. For additional information, see ‘‘Risk Factors — Risks Relating to Our Business and Industry — If we are unable to successfully manage our growth or if our growth rate declines, our business and prospects may be materially and adversely affected.”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You should consider carefully all of the information in this prospectus, including the risks and uncertainties described below and our consolidated financial statements and related notes, before making an investment in the ADSs. Any of the following risks and uncertainties could have a material adverse effect on our business, financial condition, results of operations and prospects. The market price of the ADSs could decline significantly as a result of any of these risks and uncertainties, and you may lose all or part of your investment.</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158"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not be indicative of our future growth or financial results and we may not be able to sustain our historical growth rates.</w:t>
      </w:r>
    </w:p>
    <w:p>
      <w:pPr>
        <w:spacing w:after="0" w:line="78"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commenced our operations in 2017 and have since scaled our business, with 6,440 teahouses in China and overseas as of December 31, 2024. In particular, we experienced rapid growth in 2024 with a net increase of 2,929 teahouses to our existing network of 3,511 teahouses at the end of 2023. This strategic decision was driven by various factors, including growing brand recognition and market demand, evidenced by our robust social influence and product sales. Additionally, this expansion aimed to fortify our competitive advantage, bolster market share, and optimize economies of scale. However, our limited operating history may not serve as an adequate basis for evaluating our prospect and operating results, and our historical growth may not be indicative of our future growth or financial results. There is no assurance that we will be able to maintain our historical growth rates in future periods. Our store-level performance has begun to follow a normalized growth trajectory in 2024 as we continued to scale and expand the scope and density of our store network across China. Our growth rates may decline for a number of reasons and some of them are beyond our control, including decreasing consumer spending, increasing competition, declining growth of China’s food and beverage sector in general, emergence of alternative business models, or changes in government policies or general economic conditions. We will continue to expand our teahouse network and diversify product offerings to further increase our consumer base and enrich our consumers’ experience. However, the execution of our expansion plan is subject to uncertainty and our business may not grow at the rate we expect for the reasons stated above. If our growth rates decline, investors’ perceptions of our business and prospects may be adversely affected and the market price of the ADSs could decline.</w:t>
      </w:r>
    </w:p>
    <w:p>
      <w:pPr>
        <w:spacing w:after="0" w:line="120"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manage our growth or if our growth rate declines, our business and prospects may be materially and adversely affected.</w:t>
      </w:r>
    </w:p>
    <w:p>
      <w:pPr>
        <w:spacing w:after="0" w:line="91"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historical rapid growth in terms of teahouse network, revenues and profitability is not indicative of our growth rate in the future. As we continue to scale our operations, we will continue to encounter challenges in implementing our managerial, operating and financial strategies to sustain our current growth rate, or achieve any growth at all. For example, as we have continued to scale and expand the scope and density of our store network across China, our store-level performance has begun to follow a normalized growth trajectory, as reflected in the decrease in average monthly GMV per teahouse in China in recent quarters and the deceleration or decline in quarterly same-store GMV growth. See “Management’s Discussion and Analysis of Financial Condition and Results of Operations — Key Operating Data.” Other major challenges in managing our business growth include, among other things:</w:t>
      </w:r>
    </w:p>
    <w:p>
      <w:pPr>
        <w:spacing w:after="0" w:line="80" w:lineRule="exact"/>
        <w:rPr>
          <w:sz w:val="20"/>
          <w:szCs w:val="20"/>
          <w:color w:val="auto"/>
        </w:rPr>
      </w:pPr>
    </w:p>
    <w:p>
      <w:pPr>
        <w:jc w:val="both"/>
        <w:ind w:left="1800" w:right="419" w:hanging="180"/>
        <w:spacing w:after="0" w:line="261"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identifying and securing locations for new teahouses and managing the daily operations of our teahouses. See “— We may not be successful in operating the company-owned and franchised teahouses managed by us within our teahouse network effectively” and “— We may not be successful in expanding our teahouse network” for more details;</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effectiveness of our franchise model;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costs in a competitive environment;</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introduce new products and timely upgrades to existing products to cater to evolving consumers’ tastes;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quality and attractiveness of the products we offer;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an enjoyable consumer experience;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maintaining and capitalizing on our brand awareness;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consumers and attracting new consumers through our membership program;</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our supply chain and ensuring that our third-party suppliers continue to meet our quality and other standards and satisfy our future operations’ needs;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upgrading our technologies, tea-making machines and tools in a cost-effective manner;</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training and retaining a growing workforce to support our operations;</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variety of new and upgraded internal systems and procedures as our business continues to grow;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full compliance with relevant laws and regulations.</w:t>
      </w:r>
    </w:p>
    <w:p>
      <w:pPr>
        <w:spacing w:after="0" w:line="158"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All efforts to address the challenges of our growth require significant managerial, financial and human resources. We cannot assure you that we will be able to execute managerial, operating and financial strategies to sustain our current growth rate, or achieve any growth at all. If we are not able to manage our growth or execute our strategies effectively, our growth may slow down or stop, which may have an impact on areas such as our market share, brand reputation, our liquidity and our ability to achieve greater economies of scale, and our business and prospects may be materially and adversely affected.</w:t>
      </w:r>
    </w:p>
    <w:p>
      <w:pPr>
        <w:spacing w:after="0" w:line="1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We operate in the highly competitive and rapidly evolving freshly-made tea drinks market in China and overseas.</w:t>
      </w:r>
    </w:p>
    <w:p>
      <w:pPr>
        <w:spacing w:after="0" w:line="173"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operate in the rapidly evolving freshly-made tea drinks market, and there is no guarantee that it will develop as we anticipate. Our future results of operations and demand for our products will depend on many factors beyond our control, such as governmental regulations and policies, investments, and evolving consumer tastes and preferences. A decline in the popularity of freshly-made tea drinks or our failure to adapt to changing trends in the freshly-made tea drinks industry could adversely affect our business prospects, financial condition, results of operations, and demand for our products.</w:t>
      </w:r>
    </w:p>
    <w:p>
      <w:pPr>
        <w:spacing w:after="0" w:line="120"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Our industry is highly competitive, with many freshly-made tea drinks stores vying for consumers, including well-established competitors with greater financial, marketing and other resources. We may be at a disadvantage compared to our competitors, and their competitive measures could hinder our growth and adversely affect our sales and results of operations. Our recipes are not patented, and we are unable to prevent competitors from copying our products and selling similar products. Furthermore, the entry of new, well-funded competitors is always a possibility.</w:t>
      </w:r>
    </w:p>
    <w:p>
      <w:pPr>
        <w:spacing w:after="0" w:line="106"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we increase our product offerings, we will also compete against other food and beverage operators with convenient locations. Increased competition may reduce our market share and profitability, requiring us to increase our sales and marketing efforts and capital commitment in the future. Failure to compete effectively against current and future competitors could lead to loss of market share and consumers, hinder our ability to sustain our current growth rate, or achieve any growth at all, and materially and adversely affect our business, financial condition, and results of operations. Although we have accumulated a large and growing consumer base, there is no assurance that we will be able to maintain it against current or future competitors. For more information on the competitive landscape of the freshly-made tea drinks industry, please see “Industry Overview.”</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expanding our teahouse network.</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extensive and well-managed teahouse network has been a critical factor in our growth and strong results. As of December 31, 2024, our network included 6,284 teahouses in 32 out of 34 province-level divisions across China, as well as 156 teahouses overseas. Of these, 6,145 were franchised teahouses. To further increase our market share, we plan to expand our geographic coverage and deepen our market penetration. This includes encouraging existing quality franchise partners to open more teahouses and seeking cooperation with new franchise partners. However, we may face challenges in achieving our planned expansion of the teahouse network. The number and timing of the teahouses opened during any given period are subject to a number of risks and uncertainties, including but not limited to our ability to:</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suitable locations for opening new teahouses and secure leases on commercially reasonable terms;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and retain qualified franchise partners;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adequate funding and efficiently control costs and expenses for development and opening costs with respect to our company-owned teahouses;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or request our franchise partners to obtain, the required licenses, permits and approvals;</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our supply chain and ensuring our third-party suppliers continue to meet our quality and other standards and satisfy our current and future operations’ needs for all teahouses throughout our network;</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efficiently manage our time and cost in relation to the design, decoration and pre-opening processes for our teahouses;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train and retain skilled employees.</w:t>
      </w:r>
    </w:p>
    <w:p>
      <w:pPr>
        <w:spacing w:after="0" w:line="14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Any factors listed above, either individually or in aggregate, may delay or fail our plan to increase the number of teahouses in desirable locations at manageable cost levels. In addition, we or our franchise partners, as the case may be, may not be able to successfully operate the existing teahouses and may choose to close certain teahouses from time to time, which would adversely affect our business, financial condition or results of operations.</w:t>
      </w:r>
    </w:p>
    <w:p>
      <w:pPr>
        <w:spacing w:after="0" w:line="11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Furthermore, the opening of a new teahouse in or near a market where we already have a presence could potentially harm the sales of our existing teahouses. Moreover, it may be challenging to build our consumer base for a new teahouse in the same market where we already have multiple existing teahouses. Nevertheless, we plan to open new teahouses in and around areas of existing teahouses to leverage operational efficiencies and effectively serve our consumers. As we continue to expand our operations, there is a possibility that cannibalization among our teahouses may become significant and could adversely impact our sales growth, which may, in turn, negatively affect our business, financial condition, or results of operations.</w:t>
      </w:r>
    </w:p>
    <w:p>
      <w:pPr>
        <w:spacing w:after="0" w:line="324" w:lineRule="exact"/>
        <w:rPr>
          <w:sz w:val="20"/>
          <w:szCs w:val="20"/>
          <w:color w:val="auto"/>
        </w:rPr>
      </w:pPr>
    </w:p>
    <w:p>
      <w:pPr>
        <w:jc w:val="both"/>
        <w:ind w:left="1260" w:right="3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w:t>
      </w:r>
    </w:p>
    <w:p>
      <w:pPr>
        <w:spacing w:after="0" w:line="101"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primarily operate our business through an extensive franchise network. As of December 31, 2024, 6,271 out of 6,440 CHAGEE teahouses within our network were franchised ones. As we generate the vast majority of our net revenues through these franchised teahouses, their financial success and cooperation are critical to our overall success. We are subject to a number of risks relating to our franchise network, which may be out of our control:</w:t>
      </w:r>
    </w:p>
    <w:p>
      <w:pPr>
        <w:spacing w:after="0" w:line="71" w:lineRule="exact"/>
        <w:rPr>
          <w:sz w:val="20"/>
          <w:szCs w:val="20"/>
          <w:color w:val="auto"/>
        </w:rPr>
      </w:pPr>
    </w:p>
    <w:p>
      <w:pPr>
        <w:jc w:val="both"/>
        <w:ind w:left="1800" w:right="419" w:hanging="180"/>
        <w:spacing w:after="0" w:line="254"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Control over our franchise partners</w:t>
      </w:r>
      <w:r>
        <w:rPr>
          <w:rFonts w:ascii="Times New Roman" w:cs="Times New Roman" w:eastAsia="Times New Roman" w:hAnsi="Times New Roman"/>
          <w:sz w:val="18"/>
          <w:szCs w:val="18"/>
          <w:color w:val="auto"/>
        </w:rPr>
        <w:t>. With respect to the franchised teahouses not operated by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limited control over how our franchise partners’ businesses are run. Despite our strict operational guidelines and standards, external factors beyond our control may lead to a decline in the quality of our franchised teahouses. As a result, our franchise partners may struggle to operate their teahouses in a manner that aligns with our expectations for quality, service, and cleanliness. They may also encounter challenges in implementing marketing programs and major initiatives, such as store remodels, equipment upgrades, or technology investments, which may require significant financial resources. While such operational challenges may not necessarily breach the terms of our franchise contracts, they could still diminish consumer experiences, impact our brand reputation and lead to negative consequences for our business.</w:t>
      </w:r>
    </w:p>
    <w:p>
      <w:pPr>
        <w:spacing w:after="0" w:line="77"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revenues from our franchised teahouses</w:t>
      </w:r>
      <w:r>
        <w:rPr>
          <w:rFonts w:ascii="Times New Roman" w:cs="Times New Roman" w:eastAsia="Times New Roman" w:hAnsi="Times New Roman"/>
          <w:sz w:val="18"/>
          <w:szCs w:val="18"/>
          <w:color w:val="auto"/>
        </w:rPr>
        <w:t>. We receive various types of fees from our franchise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depending on the terms of different franchise models, including initial franchise fees, monthly performance-based royalties, fees related to store supplies and procurements, and other service fees from our franchise partners. Any inability of our franchised teahouses to grow their sales and profit could have a negative impact on our net revenues and profitability.</w:t>
      </w:r>
    </w:p>
    <w:p>
      <w:pPr>
        <w:spacing w:after="0" w:line="61" w:lineRule="exact"/>
        <w:rPr>
          <w:rFonts w:ascii="Times New Roman" w:cs="Times New Roman" w:eastAsia="Times New Roman" w:hAnsi="Times New Roman"/>
          <w:sz w:val="18"/>
          <w:szCs w:val="18"/>
          <w:color w:val="auto"/>
        </w:rPr>
      </w:pPr>
    </w:p>
    <w:p>
      <w:pPr>
        <w:ind w:left="1800" w:right="419" w:hanging="180"/>
        <w:spacing w:after="0" w:line="284"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and regulatory compliance</w:t>
      </w:r>
      <w:r>
        <w:rPr>
          <w:rFonts w:ascii="Times New Roman" w:cs="Times New Roman" w:eastAsia="Times New Roman" w:hAnsi="Times New Roman"/>
          <w:sz w:val="18"/>
          <w:szCs w:val="18"/>
          <w:color w:val="auto"/>
        </w:rPr>
        <w:t>. We normally require our franchise partners to secure relevant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approvals and permits for the operation of the related franchised teahouses in our</w:t>
      </w:r>
    </w:p>
    <w:p>
      <w:pPr>
        <w:sectPr>
          <w:pgSz w:w="11900" w:h="16838" w:orient="portrait"/>
          <w:cols w:equalWidth="0" w:num="1">
            <w:col w:w="9879"/>
          </w:cols>
          <w:pgMar w:left="580" w:top="97" w:right="1440" w:bottom="1440" w:gutter="0" w:footer="0" w:header="0"/>
        </w:sect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spacing w:after="0" w:line="254" w:lineRule="auto"/>
        <w:rPr>
          <w:sz w:val="20"/>
          <w:szCs w:val="20"/>
          <w:color w:val="auto"/>
        </w:rPr>
      </w:pPr>
      <w:r>
        <w:rPr>
          <w:rFonts w:ascii="Times New Roman" w:cs="Times New Roman" w:eastAsia="Times New Roman" w:hAnsi="Times New Roman"/>
          <w:sz w:val="18"/>
          <w:szCs w:val="18"/>
          <w:color w:val="auto"/>
        </w:rPr>
        <w:t>standard franchise contracts and require that our franchise partners provide us with applicable approvals and permits, including, among others, business license, food operation license and fire prevention safety inspection certificates. However, some of our franchise partners may fail to obtain or renew such approvals or permits in a timely manner, or at all. Any failure to obtain or renew such approvals or permits or to comply with the laws and regulations will negatively affect the operation of our franchised teahouses, which will in turn have a material adverse effect on our results of operations. See also “— Any lack of requisite approvals, licenses or permits applicable to our or our franchise partners’ teahouses may have a material and adverse impact on our business, financial condition and results of operations.”</w:t>
      </w:r>
    </w:p>
    <w:p>
      <w:pPr>
        <w:spacing w:after="0" w:line="311" w:lineRule="exact"/>
        <w:rPr>
          <w:sz w:val="20"/>
          <w:szCs w:val="20"/>
          <w:color w:val="auto"/>
        </w:rPr>
      </w:pPr>
    </w:p>
    <w:p>
      <w:pPr>
        <w:jc w:val="both"/>
        <w:ind w:left="1800" w:right="419" w:hanging="180"/>
        <w:spacing w:after="0" w:line="254"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stability and business sustainability</w:t>
      </w:r>
      <w:r>
        <w:rPr>
          <w:rFonts w:ascii="Times New Roman" w:cs="Times New Roman" w:eastAsia="Times New Roman" w:hAnsi="Times New Roman"/>
          <w:sz w:val="18"/>
          <w:szCs w:val="18"/>
          <w:color w:val="auto"/>
        </w:rPr>
        <w:t>. Our franchise partners may not be able to secure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adequate financing to open or finance the operation of their franchised teahouses. If they incur too much debt or if economic or sales trends deteriorate such that they are unable to repay existing debt, our franchise partners could experience financial distress or even bankruptcy. If a significant number of our franchise partners become financially distressed, it could harm our operating results due to reduced net revenues and the impact on our profitability could be greater than the percentage decrease in our net revenues. In addition, franchise partners may encounter a number of operational challenges, including store leasing and hiring of personnel, that may affect the sustainability of their business, further impacting our business operations.</w:t>
      </w:r>
    </w:p>
    <w:p>
      <w:pPr>
        <w:spacing w:after="0" w:line="80" w:lineRule="exact"/>
        <w:rPr>
          <w:rFonts w:ascii="Times New Roman" w:cs="Times New Roman" w:eastAsia="Times New Roman" w:hAnsi="Times New Roman"/>
          <w:sz w:val="18"/>
          <w:szCs w:val="18"/>
          <w:color w:val="auto"/>
        </w:rPr>
      </w:pPr>
    </w:p>
    <w:p>
      <w:pPr>
        <w:jc w:val="both"/>
        <w:ind w:left="1800" w:right="419" w:hanging="180"/>
        <w:spacing w:after="0" w:line="254"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Alignment of interests</w:t>
      </w:r>
      <w:r>
        <w:rPr>
          <w:rFonts w:ascii="Times New Roman" w:cs="Times New Roman" w:eastAsia="Times New Roman" w:hAnsi="Times New Roman"/>
          <w:sz w:val="18"/>
          <w:szCs w:val="18"/>
          <w:color w:val="auto"/>
        </w:rPr>
        <w:t>. Although we bear ultimate responsibility for the success of our entire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teahouse network and must prioritize long-term improvements, our franchise partners may have different business strategies and objectives that occasionally conflict with our interests. Disagreements may arise regarding our strategies and objectives or our respective rights and obligations under the franchise contracts and the terms and conditions of our partnership. As a result, disputes may arise and legal action may be taken against us, which could divert the attention, time, and financial resources of our management and franchise partners away from our teahouses. Even if we ultimately prevail in any such disputes, the resulting distraction and cost could still harm our business.</w:t>
      </w:r>
    </w:p>
    <w:p>
      <w:pPr>
        <w:spacing w:after="0" w:line="299"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Brand integrity</w:t>
      </w:r>
      <w:r>
        <w:rPr>
          <w:rFonts w:ascii="Times New Roman" w:cs="Times New Roman" w:eastAsia="Times New Roman" w:hAnsi="Times New Roman"/>
          <w:sz w:val="18"/>
          <w:szCs w:val="18"/>
          <w:color w:val="auto"/>
        </w:rPr>
        <w:t>. Any actions or omissions by our franchise partners that violate laws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attributed to us and result in negative publicity, which can harm our brand image and decrease consumer demand for our products. Franchise partners’ online activity via social media can also negatively impact public perception of our brand, leading to reduced sales for our franchise partners and decreased net revenues for us.</w:t>
      </w:r>
    </w:p>
    <w:p>
      <w:pPr>
        <w:spacing w:after="0" w:line="11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Furthermore, our relationship with franchise partners and the potential sale of a franchise are governed by laws in the PRC and other countries where we operate. Legal action could be taken against us by franchise partners or government agencies based on these franchiser-franchisee relationships, resulting in fines, penalties, or damages awarded to franchise partners.</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Evolving consumer preferences and tastes may adversely affect our business.</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Our success relies on our ability to consistently improve our existing recipes and introduce new products that cater to evolving consumer preferences and tastes. While we believe that our tea drinks have broad appeal across consumers from different backgrounds, there is a risk that consumers may lose interest in our offerings. In particular, we generate a significant portion of our net revenues from our signature tea latte products. If consumers shift their preferences and no longer purchase these popular tea drinks, it could materially adversely impact our business, financial condition, and results of operations.</w:t>
      </w:r>
    </w:p>
    <w:p>
      <w:pPr>
        <w:spacing w:after="0" w:line="12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Moreover, even if we continue to innovate, there is a risk that consumers may not accept our new products due to factors such as price increases or other considerations. This could have an adverse effect on our operational and financial results. Additionally, the introduction of new products that reduce the demand for our existing offerings may result in a decline in sales. Managing the cost of materials, particularly for newly launched products, also presents challenges that could impact our profitability.</w:t>
      </w:r>
    </w:p>
    <w:p>
      <w:pPr>
        <w:spacing w:after="0" w:line="102"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Furthermore, changes in consumer preferences, particularly related to dietary concerns such as calories and sugar consumption, may affect our sales. While we offer various options, including items with no added sugar and reduced calories, negative reports on the health effects of sugar or other compounds in our products,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regardless of their accuracy, or negative publicity or litigation related to certain health risks, could significantly reduce demand for our products and materially harm our business and financial results.</w:t>
      </w:r>
    </w:p>
    <w:p>
      <w:pPr>
        <w:spacing w:after="0" w:line="77"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offer our products at prices that are appealing to consumers or maintain competitive prices, our business and results of operations would be materially and adversely affected.</w:t>
      </w:r>
    </w:p>
    <w:p>
      <w:pPr>
        <w:spacing w:after="0" w:line="90"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 critical differentiator of our business is our ability to offer value to consumers, including offering quality products at prices that are appealing to consumers, which is pivotal to the success of our business. We vigorously execute our pricing strategy in our daily business operations, but we may still face various challenges in maintaining the current price rates. For example, we may not always have sufficient bargaining power in negotiating terms with our suppliers and procure raw materials and ingredients at favorable prices. As a result, we may have to price our products at higher-than- expected prices to achieve profitability. Even if we are able to price our products as we expected, our profit margin may be lower than our anticipation due to various factors, such as raw materials losses and order forecasting inaccuracy at individual stores. Further, increases in raw materials prices or production costs may also be shifted to us by our suppliers and result in our pressure to increase prices. Any increase in product prices may cause our sales volume to decline, and more importantly, undermine our positioning as a premium freshly-made tea drinks brand, making us less attractive to consumers and less competitive in the marketplace. Accordingly, the occurrence of any of the above would adversely affect our overall profitability, business, financial condition and results of operations.</w:t>
      </w:r>
    </w:p>
    <w:p>
      <w:pPr>
        <w:spacing w:after="0" w:line="32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addition, the prices of the products we sell can be influenced by general economic conditions. For example, general inflation in the prices of the products we sell could cause us to mark up prices and thereby may negatively affect our product sales. Adverse general economic conditions could also increase costs to us, such as shipping rates, freight costs and store operating costs and further reduce our sales or increase our cost of sales, selling and distribution expenses, or general and administrative expenses. Our pricing strategy and competitive pressure may inhibit our ability to reflect these increased costs in the prices of our products without losing competitive position, and therefore reduce our profitability and materially adversely affect our business, financial condition and results of operations. In addition, our competitors may be able to offer similar products at lower prices, resulting in our tea drinks less attractive to consumers and less competitive in the marketplace. Any price reductions by our competitors may result in the reduction of our prices and a corresponding reduction in our profitability. Accordingly, we may face periods of intense competition in the future, which could have a material adverse effect on our profitability and results of operations.</w:t>
      </w:r>
    </w:p>
    <w:p>
      <w:pPr>
        <w:spacing w:after="0" w:line="11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are subject to additional risks in maintaining our products at appealing or competitive prices in the overseas markets. Substantially all of our products are manufactured in China and shipped to overseas markets. Countries to which we make export sales may take restrictive measures, such as trade tariffs, or anti-dumping duties and other non-tariff barriers, to protect their home markets. Any imposition of tariffs, anti -dumping duties, or other non -tariff barriers in one or more markets could result in additional costs to us and negatively affect our ability to price our products at appealing or competitive rates and/or a material reduction in our supplies of relevant products in those markets, which could have a material adverse effect on our business, results of operations and financial condition.</w:t>
      </w:r>
    </w:p>
    <w:p>
      <w:pPr>
        <w:spacing w:after="0" w:line="115"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acquire new consumers or retain existing consumers in a cost-effective manner, our business, financial condition and results of operations may be materially and adversely affected.</w:t>
      </w:r>
    </w:p>
    <w:p>
      <w:pPr>
        <w:spacing w:after="0" w:line="9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Our ability to cost-effectively attract new consumers and retain existing consumers is crucial to driving revenue growth and achieving higher profitability. We have continued to invest in branding, sales and marketing to acquire and retain consumers. For the years ended December 31, 2022, 2023 and 2024, we incurred RMB73.6 million, RMB261.6 million and RMB1,108.9 million (US$151.9 million) in sales and marketing expenses, respectively, accounted for 15.0%, 5.6% and 8.9% of our net revenues of the respective periods. We expect to continue to invest significantly to acquire new consumers and retain existing ones. However, there is no assurance that our sales and marketing activities will generate more traffic to our teahouses as anticipated. In addition, technology advancement may require us to adopt innovative marketing methods to keep pace with industry trends and consumer preferences. Failure to adjust our existing marketing approaches, or to introduce new marketing approaches, in a cost-effective manner could negatively impact our results of operations.</w:t>
      </w:r>
    </w:p>
    <w:p>
      <w:pPr>
        <w:spacing w:after="0" w:line="326"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addition, if our existing consumers no longer find our products appealing or are unsatisfied with our services, or if our competitors offer more attractive products, prices, discounts or better consumer services,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our existing consumers may lose interest in us, decrease their orders or even stop ordering from us. If we are unable to retain our existing consumers or to acquire new consumers in a cost-effective manner, our probability could be adversely affected.</w:t>
      </w:r>
    </w:p>
    <w:p>
      <w:pPr>
        <w:spacing w:after="0" w:line="98"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expanding our membership and our ability to take advantage of our membership program may be limited.</w:t>
      </w:r>
    </w:p>
    <w:p>
      <w:pPr>
        <w:spacing w:after="0" w:line="90"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have developed a membership program that offer various rewards to our members. We have limited experience operating our membership program and we cannot accurately predict the rate or range of consumers who will join our membership program. Our membership program may not be effective in retaining or increasing purchases by existing consumers and may adversely affect purchases by consumers who are not members. In addition, we may not be able to use our membership program to deepen our understanding of our target consumers. As a result, our business may be materially and adversely affected.</w:t>
      </w:r>
    </w:p>
    <w:p>
      <w:pPr>
        <w:spacing w:after="0" w:line="108" w:lineRule="exact"/>
        <w:rPr>
          <w:sz w:val="20"/>
          <w:szCs w:val="20"/>
          <w:color w:val="auto"/>
        </w:rPr>
      </w:pPr>
    </w:p>
    <w:p>
      <w:pPr>
        <w:jc w:val="both"/>
        <w:ind w:left="1260" w:right="3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operating the company-owned and franchised teahouses managed by us within our teahouse network effectively.</w:t>
      </w:r>
    </w:p>
    <w:p>
      <w:pPr>
        <w:spacing w:after="0" w:line="9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As of December 31, 2024, we had 6,440 teahouses within our network, out of which 398 were managed by us, including 169 company-owned teahouses and 229 franchised teahouses directly managed by us. The operating results of the teahouses managed by us have been and will continue to be subject to a number of factors, including but not limited to:</w:t>
      </w:r>
    </w:p>
    <w:p>
      <w:pPr>
        <w:spacing w:after="0" w:line="69" w:lineRule="exact"/>
        <w:rPr>
          <w:sz w:val="20"/>
          <w:szCs w:val="20"/>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the quality of our products and services;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consumers and attract new consumers;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continuously increase consumer spending and to implement new initiatives to drive sales;</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respond to changes in market opportunities and consumer preferences;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third-party suppliers, service providers and strategic partners;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train and retain talented employees;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sufficient capital investment and commitment of financial resources for our company-owned teahouses;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costs of our operations, such as cost of materials, labor costs and other operating costs, and sales and marketing expenses;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ensure full compliance with relevant laws and regulations and maintain adequate and effective control, supervision and risk management of the teahouses managed by us;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monitor and control the overall operation of teahouses.</w:t>
      </w:r>
    </w:p>
    <w:p>
      <w:pPr>
        <w:spacing w:after="0" w:line="15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Any of these factors listed above may render us unsuccessful in profitably operating the teahouses managed by us and could adversely impact our business, financial condition and/or results of operations.</w:t>
      </w:r>
    </w:p>
    <w:p>
      <w:pPr>
        <w:spacing w:after="0" w:line="91"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the risk of fluctuations in the cost, availability and quality of our raw materials, which could adversely affect our results of operations.</w:t>
      </w:r>
    </w:p>
    <w:p>
      <w:pPr>
        <w:spacing w:after="0" w:line="7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cost, availability, and quality of our principal raw materials, such as tea leaves and other condiments (including dairy products and syrup), are critical to our operations. We typically enter into purchase agreements with suppliers of raw materials for a term of one year, incorporating fixed purchase price caps, although contract prices may be renegotiated for reductions if there are significant market price fluctuations. However, if the cost of raw materials increases after the expiration of existing agreements, our business and results of operations could be adversely affected.</w:t>
      </w:r>
    </w:p>
    <w:p>
      <w:pPr>
        <w:spacing w:after="0" w:line="114"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Furthermore, as tea leaves and most of our condiments have a relatively short shelf life, frequent and timely supply of these products is essential to our operations. In particular, shortages of one or more of our menu items could force our teahouses to remove items from their menus, which may cause consumers to purchase similar products from our competitors. If we are unable to develop and maintain good relationships with suppliers that would allow us to obtain a stable supply of raw materials in a timely manner and 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acceptable commercial terms, our ability to offer products of the quantity and quality that meet consumer demands, or to offer these products at competitive prices, may be inhibited. The cancellation of our supply arrangements by our suppliers or any disruption, delay, or inability of these suppliers to deliver our supplies timely may materially impact our results of operations if we fail to secure alternative distribution channels promptly.</w:t>
      </w:r>
    </w:p>
    <w:p>
      <w:pPr>
        <w:spacing w:after="0" w:line="116"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Moreover, effective implementation of quality control measures on the sourcing, storage, and use of our raw materials is essential as it directly affects the quality of our products. Failure to do so could lead to a loss of existing consumers and a failure to attract new ones, thereby materially and adversely affecting our results of operations.</w:t>
      </w:r>
    </w:p>
    <w:p>
      <w:pPr>
        <w:spacing w:after="0" w:line="108" w:lineRule="exact"/>
        <w:rPr>
          <w:sz w:val="20"/>
          <w:szCs w:val="20"/>
          <w:color w:val="auto"/>
        </w:rPr>
      </w:pPr>
    </w:p>
    <w:p>
      <w:pPr>
        <w:jc w:val="both"/>
        <w:ind w:left="1260" w:right="41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Growth of our business depends on the recognition of our brand, and any failure to maintain, protect and enhance our brands, including any negative publicity, would limit our ability to expand or retain our consumer base, which would materially and adversely affect our business, financial condition and results of operations.</w:t>
      </w:r>
    </w:p>
    <w:p>
      <w:pPr>
        <w:spacing w:after="0" w:line="76"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believe that recognition of our brand among consumers has helped us manage our consumer acquisition costs and contributed to the growth and success of our business. Accordingly, maintaining, protecting and enhancing the recognition of our brand is critical to our business and market position. Many factors, some of which are beyond our control, are important to maintaining, protecting and enhancing our brand. These factors include but not limited to our ability to:</w:t>
      </w:r>
    </w:p>
    <w:p>
      <w:pPr>
        <w:spacing w:after="0" w:line="89" w:lineRule="exact"/>
        <w:rPr>
          <w:sz w:val="20"/>
          <w:szCs w:val="20"/>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quality and attractiveness of the products we offer;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launch new products that satisfy our consumers’ needs;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superior consumer experience;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brand awareness through marketing and brand promotion activities;</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good relationship and retain favorable terms with our franchise partners, suppliers, service providers and other business partners;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compliance with relevant laws and regulations;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effectively against existing and future competitors; and</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our reputation and goodwill generally and in the event of any negative publicity on our products, services and data security, or other issues affecting us, the freshly-made tea drinks market or the food and beverage sector in general.</w:t>
      </w:r>
    </w:p>
    <w:p>
      <w:pPr>
        <w:spacing w:after="0" w:line="10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 public perception that we, or other industry participants do not provide satisfactory products or services to consumers, even if factually incorrect or based on isolated incidents, could damage our reputation, diminish the value of our brand, undermine the trust and credibility we have established and have a negative impact on our ability to attract and retain consumers, and our business, financial condition and results of operations may be materially and adversely affected.</w:t>
      </w:r>
    </w:p>
    <w:p>
      <w:pPr>
        <w:spacing w:after="0" w:line="112"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Incidents involving food or beverage-borne illnesses, tampering, adulteration, contamination or mislabeling, whether or not accurate, as well as adverse public or medical opinions about the health effects of consuming our products, could harm our business.</w:t>
      </w:r>
    </w:p>
    <w:p>
      <w:pPr>
        <w:spacing w:after="0" w:line="9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Instances or reports, whether true or not, of unclean supply or food-safety issues, such as food or beverage- borne illnesses, tampering, adulteration, contamination or mislabeling, either during growing, manufacturing, packaging, storing or preparation, employee hygiene and cleanliness failures or improper employee conduct, have in the past severely injured the reputations of companies in the food and beverage sectors. Any report linking us to such instances could severely hurt our sales and could possibly lead to product liability claims, litigation and/or temporary teahouse closures. We are also continuing to incorporate more products in our lineup that require freezing or refrigeration, which increases the risk of food safety related incidents if correct temperatures are not maintained due to mechanical malfunction or human error.</w:t>
      </w:r>
    </w:p>
    <w:p>
      <w:pPr>
        <w:spacing w:after="0" w:line="12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also face risk by relying on third-party suppliers to provide and transport ingredients and finished products to our teahouses. We monitor the operations of certain of these business partners, but the product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quality and service they deliver may be diminished by any number of factors beyond our control and it may be difficult to detect contamination or other defect in these products.</w:t>
      </w:r>
    </w:p>
    <w:p>
      <w:pPr>
        <w:spacing w:after="0" w:line="81"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addition, instances of food or beverage-safety issues, even those involving solely the teahouses of competitors or of suppliers or distributors (regardless of whether we use or have used those suppliers or distributors), could, by resulting in negative publicity about us or the food and beverage industry in general, adversely affect our sales on a regional or global basis. A decrease in consumer traffic as a result of food-safety concerns or negative publicity, or as a result of a temporary closure of any of our teahouses, product recalls or food or beverage-safety claims or litigation, could materially harm our business and results of operations.</w:t>
      </w:r>
    </w:p>
    <w:p>
      <w:pPr>
        <w:spacing w:after="0" w:line="321" w:lineRule="exact"/>
        <w:rPr>
          <w:sz w:val="20"/>
          <w:szCs w:val="20"/>
          <w:color w:val="auto"/>
        </w:rPr>
      </w:pPr>
    </w:p>
    <w:p>
      <w:pPr>
        <w:jc w:val="both"/>
        <w:ind w:left="1260" w:right="3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increasingly become a target for public scrutiny, including complaints to regulatory agencies, negative media coverage, and malicious allegations, all of which could severely damage our reputation and materially and adversely affect our business and prospects.</w:t>
      </w:r>
    </w:p>
    <w:p>
      <w:pPr>
        <w:spacing w:after="0" w:line="10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Publicity surrounding our business creates the possibility of heightened attention from the public, regulators, and the media. Heightened regulatory and public concerns over consumer protection and safety issues may subject us to additional legal and social responsibilities and increased scrutiny, leading to negative publicity. With a large number of consumer orders and continuous business expansion, the risk of negative publicity is significant, particularly with respect to our franchised teahouses operated by our franchise partners as we have limited control over them. Negative reports regarding our business, financial condition, and results of operations could severely affect our brand image and product sales, potentially leading to product liability claims, litigation, or damages. Furthermore, improper behaviors or statements from our spokespersons, endorsers, celebrities we cooperate with, and employees may result in substantial harm to our brand, reputation, and operations. While we cannot guarantee that we will not become the target of regulatory or public scrutiny in the future, we aim to mitigate any negative impacts on our reputation, brand image, and business prospects.</w:t>
      </w:r>
    </w:p>
    <w:p>
      <w:pPr>
        <w:spacing w:after="0" w:line="323"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lack of requisite approvals, licenses or permits applicable to our or our franchise partners’ teahouses may have a material and adverse impact on our business, financial condition and results of operations.</w:t>
      </w:r>
    </w:p>
    <w:p>
      <w:pPr>
        <w:spacing w:after="0" w:line="9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accordance with the relevant laws and regulations in jurisdictions in which we operate, we and our franchise partners are required to maintain various approvals, licenses and permits to operate the CHAGEE teahouses, including food operation license, fire safety inspection, and as-built acceptance check on fire prevention or fire safety filing, as applicable. In addition, we are required to maintain our commercial franchiser registration and fulfill the necessary filings to operate our franchise model in China. Furthermore, we have since September 2024 started to engage in the distribution of prepaid gift cards. If any of our PRC subsidiaries is deemed a prepaid card issuer pursuant to applicable local regulations, it may be required to make the relevant filings within 30 days from the commencement of such business, and failure to do so may subject the PRC subsidiary to a fine of more than RMB10,000 but less than RMB30,000.</w:t>
      </w:r>
    </w:p>
    <w:p>
      <w:pPr>
        <w:spacing w:after="0" w:line="121"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For our company-owned teahouses, we are typically responsible for obtaining all requisite approvals, licenses and permits for teahouse operations. Based on anonymous consultation with local fire prevention authorities by King &amp; Wood Mallesons, our PRC legal counsel, the requirements of the as-built acceptance check on fire prevention or fire safety filing and the fire safety inspection for beverage stores varies among cities. As of the date of this prospectus, some of our company-owned teahouses have not completed the required as-built acceptance fire safety filing and fire safety inspection. The teahouses that fail to complete such as-built acceptance check on fire prevention or fail to pass the fire safety inspection before the commencement of operations may be ordered by the relevant government authorities to discontinue the construction, use, production, or operation, and may be subject to a fine up to RMB300,000 per teahouse. The teahouses that fail to complete as-built acceptance fire safety filing may be ordered to rectify and be subject to a fine up to RMB5,000 per teahouse.</w:t>
      </w:r>
    </w:p>
    <w:p>
      <w:pPr>
        <w:spacing w:after="0" w:line="111"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are in the process of rectifying the above non-compliance incidents with respect to our company-owned teahouses. However, we cannot assure you that we will be able to fully rectify all non-compliance incidents in a timely manner or fully satisfy the regulatory requirements, or we will not be subject to any future regulatory reviews and inspections where other non-compliance incidents might be identified, which might materially and adversely affect our business, financial condition, results of operations and prospects. For example, even if our teahouses complete the required fire safety inspection, as-built acceptance check on fire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prevention and fire safety filing, the relevant government authorities may decide to inspect our teahouses from time to time, and if we are found to fail such inspection, we may be ordered by the relevant government authorities to close down our teahouses or cease the business operations and be subject to fines.</w:t>
      </w:r>
    </w:p>
    <w:p>
      <w:pPr>
        <w:spacing w:after="0" w:line="10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For our franchised teahouses, our franchise partners are contractually responsible for obtaining requisite licenses, permits and approvals, and shall bear the associated costs and liabilities related to compliance with these requirements. However, there is no guarantee that our franchise partners have obtained and will maintain the required license in accordance with such contractual requirements, and any significant fines or administrative penalties imposed on the franchise partners or the related franchised teahouses could have an adverse impact on their business operations and financial performance, which in turn may adversely affect our results of operations and financial condition.</w:t>
      </w:r>
    </w:p>
    <w:p>
      <w:pPr>
        <w:spacing w:after="0" w:line="114"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If we or any of our franchise partners fails to obtain the required licenses, permits and approvals, or complete requisite registrations and filings, we or the franchise partner may be subject to fines, confiscation of the income derived from the related teahouses, the suspension of operations of the related teahouses and adverse publicity arising from such non-compliance with government regulations. If we or any of our franchise partners fails to obtain the necessary approvals, licenses and permits for new teahouses, our teahouse opening and expansion plan may be delayed. In addition, there can be no assurance that we or any of our franchise partners will be able to obtain or complete, maintain, renew and/or convert all of the approvals, licenses, permits, registrations and filings required for the existing business operations upon their expiration in a timely manner or at all, which may materially impact our operations.</w:t>
      </w:r>
    </w:p>
    <w:p>
      <w:pPr>
        <w:spacing w:after="0" w:line="114"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and service providers to provide products and services to us and to our consumers, and the loss of any of these suppliers or service providers and any significant interruption in the operations of our third-party suppliers and service providers may negatively impact our business.</w:t>
      </w:r>
    </w:p>
    <w:p>
      <w:pPr>
        <w:spacing w:after="0" w:line="10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Our business relies on our third-party suppliers, service providers, and other business partners. Any interruption in their operations, failure to accommodate our fast-growing business scale, termination or suspension of our supply arrangements, changes in cooperation terms, deterioration of cooperative relationships, or disputes with these suppliers may have a significant negative impact on our results of operations. For instance, a significant interruption in the operations of our tea leaf suppliers could cause a shortage of tea leaves at our teahouses, a significant interruption in warehousing services provided by our third-party warehousing service vendors could cause a shortage of inventory, and a significant interruption in the operations of our internet service provider could impact our online operations.</w:t>
      </w:r>
    </w:p>
    <w:p>
      <w:pPr>
        <w:spacing w:after="0" w:line="119"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Furthermore, our current agreements with our suppliers generally do not prevent them from working with our competitors. This could lead to our competitors providing greater incentives to our suppliers to prioritize their orders in case of short supply, potentially leaving us with inadequate supplies. If we are unable to find replacement suppliers on commercially reasonable terms or in a timely manner, our business operations and financial results could be materially and adversely affected. It is important to note that any disruption in our supply chain may affect the availability of our products and could harm our reputation, which in turn could lead to a loss of consumers and decreased net revenues.</w:t>
      </w:r>
    </w:p>
    <w:p>
      <w:pPr>
        <w:spacing w:after="0" w:line="117" w:lineRule="exact"/>
        <w:rPr>
          <w:sz w:val="20"/>
          <w:szCs w:val="20"/>
          <w:color w:val="auto"/>
        </w:rPr>
      </w:pPr>
    </w:p>
    <w:p>
      <w:pPr>
        <w:jc w:val="both"/>
        <w:ind w:left="126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warehousing and logistics service providers to transport and store raw materials for us in a timely and cost-efficient manner. Any delay in shipment, or incidents of food spoilage, and increases in warehousing and logistics costs, may have an adverse impact on our results of operations.</w:t>
      </w:r>
    </w:p>
    <w:p>
      <w:pPr>
        <w:spacing w:after="0" w:line="107"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rely on third-party warehousing and logistics service providers to ship and store raw materials in a timely and cost-effective manner, because the raw materials of our tea drinks, including tea leaves, syrup and dairy products, typically have relatively short shelf lives and/or require stringent storage and transportation conditions. We typically enter into renewable agreements, which typically have terms of one to three years, with our third-party warehousing and logistics service providers, most of whom are large, nationally operated businesses. However, we cannot assure you that our third-party warehousing and logistics service providers will continue to provide warehousing and logistics services that satisfy our operations’ needs on commercially acceptable terms. Their ability to ship and store raw materials and pre-made products in a timely manner and at competitive prices may be adversely affected by economic conditions, labor actions, natural disasters or other causes. Any delay in shipment, incidents of food spoilage, or increases in the costs of the warehousing and delivery services, may have an adversely effect on our results of operation.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experience in expansion into overseas markets has been limited and may present increased risks due to lower awareness of our brand, our unfamiliarity with those markets and other factors.</w:t>
      </w:r>
    </w:p>
    <w:p>
      <w:pPr>
        <w:spacing w:after="0" w:line="7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have expanded our presence beyond China with teahouses operating in certain overseas markets, and may enter other overseas markets in the future. As we have only recently started operating in overseas markets, we have lower brand awareness and less operating experience in these markets. This means that our return on investment may be lower in these overseas markets compared to China. Moreover, the overseas markets in which we operate have different competitive conditions, regulatory environments, consumer tastes, and discretionary spending patterns with the Chinese market. As a result, new teahouses opened outside China may not be as successful, and it may take longer for sales to ramp up and reach expected levels, or sales may never reach expected levels, which could affect overall growth and profitability. Building brand awareness in overseas markets may require greater investments in advertising and promotional activities than initially planned or than required for opening a new teahouse in China. This increased investment could negatively impact our profitability in those overseas markets. Additionally, due to lower consumer familiarity with our brand, differences in consumer tastes or spending patterns, or other reasons, there is a risk that sales at teahouses opened outside China may not meet expected levels.</w:t>
      </w:r>
    </w:p>
    <w:p>
      <w:pPr>
        <w:spacing w:after="0" w:line="12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international operations are also subject to additional inherent risks of conducting business abroad, such as:</w:t>
      </w:r>
    </w:p>
    <w:p>
      <w:pPr>
        <w:spacing w:after="0" w:line="54" w:lineRule="exact"/>
        <w:rPr>
          <w:sz w:val="20"/>
          <w:szCs w:val="20"/>
          <w:color w:val="auto"/>
        </w:rPr>
      </w:pPr>
    </w:p>
    <w:p>
      <w:pPr>
        <w:ind w:left="1800" w:right="419" w:hanging="180"/>
        <w:spacing w:after="0" w:line="261"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to find qualified franchise partners, suppliers and other business partners for overseas operation;</w:t>
      </w:r>
    </w:p>
    <w:p>
      <w:pPr>
        <w:spacing w:after="0" w:line="28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anticipate foreign consumers’ preferences and tastes;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brand recognition (compared with our home market in China);</w:t>
      </w:r>
    </w:p>
    <w:p>
      <w:pPr>
        <w:spacing w:after="0" w:line="9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uncertainties in economic, legal, regulatory, social and political conditions in these overseas markets, including adverse conditions applicable to Chinese brands;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 and application of laws and regulations, including tax, tariffs, labor, merchandise and privacy laws and regulations;</w:t>
      </w:r>
    </w:p>
    <w:p>
      <w:pPr>
        <w:spacing w:after="0" w:line="26"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actions of foreign or Chinese governmental authorities affecting trade and foreign investment, especially during periods of heightened tension between the PRC and such foreign governmental authorities, including protective measures such as export and customs duties and tariffs, government intervention favoring local competitors and restrictions on the level of foreign ownership;</w:t>
      </w:r>
    </w:p>
    <w:p>
      <w:pPr>
        <w:spacing w:after="0" w:line="2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other business licensing requirements;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enforceability of intellectual property and contract rights;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repatriation of funds and foreign currency exchange restrictions due to current or new PRC and international regulations;</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or requirements to transact in specific currencies;</w:t>
      </w:r>
    </w:p>
    <w:p>
      <w:pPr>
        <w:spacing w:after="0" w:line="90"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developing and managing foreign operations and supply chain logistics, including ensuring the consistency of product quality and service, due to governmental actions affecting supply chain logistics, distance, language and cultural differences, as well as challenges in recruiting and retaining high-quality employees in local markets;</w:t>
      </w:r>
    </w:p>
    <w:p>
      <w:pPr>
        <w:spacing w:after="0" w:line="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laws that make it more expensive and complex to negotiate with, retain or terminate employees;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local competitors; and</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desirable real estate locations available for lease at reasonable rates.</w:t>
      </w:r>
    </w:p>
    <w:p>
      <w:pPr>
        <w:spacing w:after="0" w:line="15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Any of the above factors could keep us from meeting teahouse opening targets and, in turn, negatively impact our financial performance.</w:t>
      </w:r>
    </w:p>
    <w:p>
      <w:pPr>
        <w:spacing w:after="0" w:line="91"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evaluate and explore potential new business opportunities, enter new markets and complete strategic investments or acquisitions, but these efforts may fail and adversely affect our operating results and financial performance.</w:t>
      </w:r>
    </w:p>
    <w:p>
      <w:pPr>
        <w:spacing w:after="0" w:line="10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are seeking and will continue to explore opportunities to grow our business, such as launching new brands, developing new products and store formats or exploring new business initiatives. However, we may</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not be successful in exploring the new business opportunities for a variety of reasons, such as lack of market acceptance, operational inefficiencies and failure of branding strategies. In addition, from time to time, we may enter into strategic partnerships or make strategic investments and acquisitions in order to complement our business and strengthen our market leadership position. We may experience difficulties in many of the following areas, including but not limited to, integrating our newly invested or acquired businesses, implementing our strategies or realizing anticipated levels of revenue, profitability, productivity or other benefits. Accordingly, we cannot assure that our initiatives to explore new business opportunities, enter new markets, and make investments or acquisitions will benefit our business operations, generate sufficient revenues to offset related costs or produce the anticipated benefits by other methods.</w:t>
      </w:r>
    </w:p>
    <w:p>
      <w:pPr>
        <w:spacing w:after="0" w:line="114"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detect, deter and prevent all instances of fraud or other misconduct committed by our franchise partners, employees, consumers, suppliers or other third parties. We may be unable to receive sufficient compensation for the losses caused by them.</w:t>
      </w:r>
    </w:p>
    <w:p>
      <w:pPr>
        <w:spacing w:after="0" w:line="101"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Our reputation and operation may be harmed by illegal or unsatisfactory actions taken or unsatisfactory performance by our franchise partners, employees, consumers, suppliers or other third parties that are outside of our control. For example, we may be exposed to fraud, bribery and other misconducts committed by our franchise partners, employees, consumers, suppliers or any other third parties, which could subject us to financial losses and sanctions imposed by governmental authorities. Additionally, the failure of our raw material suppliers to ensure product quality or to comply with food safety or other laws and regulations and contamination during the delivery to consumers, or software and internet disruptions to our third-party service providers could interrupt our operations and result in claims against us, and any delay in delivery of our products, damage to our products during the course of delivery and inappropriate actions taken by delivery riders of our delivery service providers might cause consumer complaints.</w:t>
      </w:r>
    </w:p>
    <w:p>
      <w:pPr>
        <w:spacing w:after="0" w:line="11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the event that we become subject to claims caused by actions taken or unsatisfactory performance by our franchise partners, employees, consumers, suppliers or other third parties, we may attempt to seek compensation from these relevant parties. However, such compensation may be limited. If no claim can be asserted against a franchise partner, employee, consumer, supplier or third party, or amounts that we claim cannot be fully recovered from the relevant party, we may be required to bear such losses and compensation at our own costs. This could have a material and adverse effect on our business, financial condition and results of operations.</w:t>
      </w:r>
    </w:p>
    <w:p>
      <w:pPr>
        <w:spacing w:after="0" w:line="323" w:lineRule="exact"/>
        <w:rPr>
          <w:sz w:val="20"/>
          <w:szCs w:val="20"/>
          <w:color w:val="auto"/>
        </w:rPr>
      </w:pPr>
    </w:p>
    <w:p>
      <w:pPr>
        <w:jc w:val="both"/>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been a target of unauthorized use and imitation of our brand names, trademarks, copyrights and other intellectual properties.</w:t>
      </w:r>
    </w:p>
    <w:p>
      <w:pPr>
        <w:spacing w:after="0" w:line="7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As our brands enjoy consumer recognition and premium positioning in China, we have encountered numerous instances of unauthorized use and imitation of brand names, trademarks, domain names, copyrights and other intellectual properties by third parties from time to time. Although we are and have been actively taking actions to combat against such conducts, there can be no assurance that such actions will be successful in prevention of and deterring them. A significant presence of counterfeit products and teahouses similar to our brand names and likeliness in the market could have a negative impact on the value and image of our brands and adversely affect our business and results of operations.</w:t>
      </w:r>
    </w:p>
    <w:p>
      <w:pPr>
        <w:spacing w:after="0" w:line="104"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working capital requirements and experienced working capital deficits in the early stage of our operations. If we continue to experience working capital deficits in the future, our business, liquidity, financial condition and results of operations may be materially and adversely affected.</w:t>
      </w:r>
    </w:p>
    <w:p>
      <w:pPr>
        <w:spacing w:after="0" w:line="107"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As a result of changes in our funding position and operating assets and liabilities, we had a net working capital (defined as total current assets deducted by total current liabilities) deficit in the early stage of our operations but had started generating net working capital surplus since 2023. We had net working capital of RMB1,193.3 million and RMB3,141.7 million (US$430.4 million) respectively, as of December 31, 2023 and 2024. There is no assurance that we will continue to generate sufficient net income or operating cash flows to meet our working capital requirements and repay our liabilities as they become due, or we will be able to successfully take any of these actions in a timely manner, including prudently managing our working capital, or raising additional equity or debt financing on terms that are acceptable to us. Our inability to take these actions, as and when necessary, could materially adversely affect our liquidity, results of operations, financial condition and ability to operate.</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Expanding our teahouse network, building a well-known brand and accumulating a large and continuously growing consumer base is costly and time-consuming. Significant and continuous investments in sales and marketing are also required for further establishing brand awareness among the mass population in China to attract new consumers and retain existing ones. Our ability to obtain additional capital in the future, however, is subject to a number of uncertainties, including those relating to our future business development, financial condition and results of operations, general market conditions for financing activities by companies in our industry, and macro-economic and other conditions in China and globally. If we cannot obtain sufficient capital on acceptable terms to meet our capital needs, we may not be able to execute our growth strategies, and our business, financial condition and prospects may be materially and adversely affected.</w:t>
      </w:r>
    </w:p>
    <w:p>
      <w:pPr>
        <w:spacing w:after="0" w:line="333"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inventory effectively, our results of operations, financial condition and liquidity may be materially and adversely affected.</w:t>
      </w:r>
    </w:p>
    <w:p>
      <w:pPr>
        <w:spacing w:after="0" w:line="91"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inventory consists of raw materials with relatively short shelf life and/or that require stringent storage and transportation conditions, including dairy products and tea leaves, which necessitates effective inventory management. To make purchase decisions and manage our inventory, we rely on demand forecasts for various types of raw materials. However, demand for our products can change significantly between the time inventory is ordered and the date by which we expect to sell it. This can be influenced by factors such as seasonality, new product launches, pricing and discounts, product defects, changes in consumer spending patterns and tastes, among others. Additionally, we may not be successful in establishing stable and favorable supplier relationships or accurately forecasting demand as we develop and market new products. Some types of inventories may require significant lead time and prepayment, and may not be returnable.</w:t>
      </w:r>
    </w:p>
    <w:p>
      <w:pPr>
        <w:spacing w:after="0" w:line="107"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As we plan to expand our product offerings, we anticipate adding a wider range of raw materials to our inventory, which could pose additional challenges in managing our inventory and logistics effectively. We cannot guarantee that our inventory levels will meet consumer demands, and there is a risk of inventory obsolescence, decline in inventory value, and significant inventory write-offs if we fail to manage our inventory effectively. Moreover, failing to consume inventory within its shelf life may impact our sales and consumer satisfaction.</w:t>
      </w:r>
    </w:p>
    <w:p>
      <w:pPr>
        <w:spacing w:after="0" w:line="336"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Underestimating demand for our products or supplier failures to supply quality raw materials in a timely manner may lead to inventory shortages, resulting in diminished brand loyalty, lost sales, and harm to our business and reputation. These factors may materially and adversely affect our results of operations and financial condition.</w:t>
      </w:r>
    </w:p>
    <w:p>
      <w:pPr>
        <w:spacing w:after="0" w:line="108"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significant liability claims or complaints from consumers, or adverse publicity involving our products, our services or our teahouses.</w:t>
      </w:r>
    </w:p>
    <w:p>
      <w:pPr>
        <w:spacing w:after="0" w:line="7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face an inherent risk of liability claims or complaints from our consumers. Most of the consumer complaints we received in the past were related to the taste of our product offerings, long waiting time, hygiene standards of our teahouses, and the service quality of our staff. Operating in the food and beverage industry, we also face an inherent risk of food contamination and related consumer complaints, regulatory investigations or liability claims. We take these complaints seriously and endeavor to reduce such complaints by implementing various remedial measures. Nevertheless, we cannot assure you that we can successfully prevent or address all consumer complaints.</w:t>
      </w:r>
    </w:p>
    <w:p>
      <w:pPr>
        <w:spacing w:after="0" w:line="121"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Any complaints or claims against us, even if meritless and unsuccessful, may divert management attention and other resources from our business and adversely affect our business and operations. Consumers may lose confidence in us and our brand, which may adversely affect our business and results of operations. Furthermore, negative publicity including but not limited to negative online reviews on social media and crowd-sourced review platforms, industry findings or media reports related to food quality, safety, public health concerns, illness, injury or government, whether or not accurate, and whether or not concerning our products, can adversely affect our business, results of operations and reputation.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growth and profitability of our business depend on the level of consumer demand and discretionary spending. A severe or prolonged economic downturn in China or around the world could materially and adversely affect consumer discretionary spending and therefore adversely affect our business, financial condition and results of operations.</w:t>
      </w:r>
    </w:p>
    <w:p>
      <w:pPr>
        <w:spacing w:after="0" w:line="113"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success of our business depends, to a significant extent, on the level of consumer demand and discretionary spending, which can be affected by a number of macro-economic factors beyond our control, including changes in international, national, regional and local economic conditions, employment levels, disposable income of consumers, consumer confidence in future economic conditions, fluctuations in the financial market, among others. Our results of operations are affected by the macro-economic conditions in the markets where we operate our teahouses. Any deterioration of the PRC and global economies, decrease in disposable consumer income and fear of a recession may lead to a reduction of consumer demand and average spending per consumer at our teahouses, which could materially and adversely affect our business, financial condition and results of operations. Moreover, the occurrence of a financial crisis, sovereign debt crisis, banking crisis or other disruptions in the global financial markets may have a material and adverse impact on our operating results.</w:t>
      </w:r>
    </w:p>
    <w:p>
      <w:pPr>
        <w:spacing w:after="0" w:line="120"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Unexpected termination of leases, failure to renew the lease of existing premises or to renew such leases at acceptable terms could materially and adversely affect our business.</w:t>
      </w:r>
    </w:p>
    <w:p>
      <w:pPr>
        <w:spacing w:after="0" w:line="7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Substantially all of our teahouses, including franchised teahouses, are situated on leased premises. Consequently, we and our franchise partners may be exposed to risks of unexpected early lease termination at the request of the lessors or other reasons out of our control, which may result in store closures if we and our franchise partners are not able to identify suitable alternative premises on acceptable terms to relocate in a timely manner.</w:t>
      </w:r>
    </w:p>
    <w:p>
      <w:pPr>
        <w:spacing w:after="0" w:line="116"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terms of the leases for our teahouses generally range from two to three years. We cannot assure you that we or our franchise partners would always be able to renew these lease agreements at all or without incurring substantial additional costs or increases in the rental costs. If a lease agreement is renewed at a substantially higher rent or currently existing favorable terms granted by the lessor are not extended, our business and results of operations may be materially and adversely affected. If we or our franchise partners are unable to renew the leases for our teahouses, we or our franchise partners will have to close or relocate the teahouses, which could subject us or our franchise partners to additional costs, including costs associated with leasehold improvements removal and loss of existing consumers, and could have a material and adverse effect on our business and results of operations. Moreover, the relocated teahouse may not perform as well as the existing teahouse.</w:t>
      </w:r>
    </w:p>
    <w:p>
      <w:pPr>
        <w:spacing w:after="0" w:line="333" w:lineRule="exact"/>
        <w:rPr>
          <w:sz w:val="20"/>
          <w:szCs w:val="20"/>
          <w:color w:val="auto"/>
        </w:rPr>
      </w:pPr>
    </w:p>
    <w:p>
      <w:pPr>
        <w:jc w:val="both"/>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Most of the lease agreements of our leased properties have not been registered with the relevant PRC government authorities as required by PRC law, which may expose us to potential fines.</w:t>
      </w:r>
    </w:p>
    <w:p>
      <w:pPr>
        <w:spacing w:after="0" w:line="7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Under the relevant PRC laws and regulations, we may be required to register and file with the relevant governmental authority executed leases. Although failure to do so will not affect the validity of these lease agreements, the lessees may not be able to defend these leases against bona fide third parties and may also be exposed to potential fines if they fail to rectify such non-compliance within the prescribed time frame after receiving notice from the relevant PRC government authorities. The penalty ranges from RMB1,000 to RMB10,000 for each unregistered lease. As of December 31, 2024, the lease agreements for 283 of our leased properties in China, including leased properties for our teahouses, had not been registered with the relevant PRC government authorities. In the event that any fine is imposed on us for our failure to register our lease agreements, we may not be able to recover such losses from the lessors.</w:t>
      </w:r>
    </w:p>
    <w:p>
      <w:pPr>
        <w:spacing w:after="0" w:line="117" w:lineRule="exact"/>
        <w:rPr>
          <w:sz w:val="20"/>
          <w:szCs w:val="20"/>
          <w:color w:val="auto"/>
        </w:rPr>
      </w:pPr>
    </w:p>
    <w:p>
      <w:pPr>
        <w:jc w:val="both"/>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use our leased properties could be challenged by property owners or other third parties, which may disrupt our operations and incur relocation costs.</w:t>
      </w:r>
    </w:p>
    <w:p>
      <w:pPr>
        <w:spacing w:after="0" w:line="37"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As of the date of this prospectus, the lessors of certain of our leased properties in China failed to provide us with valid property ownership certificates or authorizations from the property owners for the lessors to sublease the properties. There is a risk that such lessors may not have the right to lease or sublease such properties to us, in which case the relevant lease agreements may be deemed invalid and we may be forced to vacate these properties, which could interrupt our business operations and incur relocation costs. Moreover, if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our lease agreements are challenged by third parties, it could cause us to incur costs associated with defending such actions, even if such challenges are ultimately determined in our favor.</w:t>
      </w:r>
    </w:p>
    <w:p>
      <w:pPr>
        <w:spacing w:after="0" w:line="23" w:lineRule="exact"/>
        <w:rPr>
          <w:sz w:val="20"/>
          <w:szCs w:val="20"/>
          <w:color w:val="auto"/>
        </w:rPr>
      </w:pPr>
    </w:p>
    <w:p>
      <w:pPr>
        <w:jc w:val="both"/>
        <w:ind w:left="1260" w:right="3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undertake strategic partnerships which may not be successful. If our collaboration with any of our strategic partners is terminated or curtailed, or if we are no longer able to benefit from the business collaborations with our strategic partners, our business may be adversely affected.</w:t>
      </w:r>
    </w:p>
    <w:p>
      <w:pPr>
        <w:spacing w:after="0" w:line="10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Our business has benefited from our collaborations with our strategic partners, including our third-party suppliers, overseas business partners, and our business partners in the areas such as mobile ordering, payment, co-branding and joint marketing. We cannot assure you that such alliances or partnerships will continue to contribute to our business, and we might not be able to maintain our cooperative relationships with our strategic partners and their respective affiliates in the future. If the services provided by these strategic partners become limited, compromised, restricted, curtailed or less effective or become more expensive or unavailable to us for any reason, our business may be materially and adversely affected. To the extent we cannot maintain our cooperative relationships with any of these strategic partners, it may be very difficult for us to identify other alternative partners, which may divert significant management attention from existing business operations and adversely impact our daily operation and consumer experience.</w:t>
      </w:r>
    </w:p>
    <w:p>
      <w:pPr>
        <w:spacing w:after="0" w:line="123"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evaluate and potentially consummate strategic investments or acquisitions, which may turn out to be not successful and adversely affect our operation and financial results.</w:t>
      </w:r>
    </w:p>
    <w:p>
      <w:pPr>
        <w:spacing w:after="0" w:line="37"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To complement our business and strengthen our market-leading position, we may form strategic alliances or make strategic investments and acquisitions from time to time. We may experience difficulties in integrating our operations with the newly invested or acquired businesses, implementing our strategies or achieving expected levels of net revenues, profitability, productivity or other benefits. Therefore, we cannot assure you that our investments or acquisitions will benefit our business strategy, generate sufficient net revenues to offset the associated investment or acquisition costs, or otherwise result in the intended benefits.</w:t>
      </w:r>
    </w:p>
    <w:p>
      <w:pPr>
        <w:spacing w:after="0" w:line="48"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our intellectual property, which could harm our business and competitive position.</w:t>
      </w:r>
    </w:p>
    <w:p>
      <w:pPr>
        <w:spacing w:after="0" w:line="37"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regard our trademarks, software copyrights, copyright of works, domain names, know-how, proprietary technologies, and similar intellectual property as critical to our success. There have been instances where third parties registered websites and social media accounts under names similar to our trademarks in order to gain illegal benefits, against which we have initiated legal proceedings, and we may continue to become an attractive target to such attacks in the future with the increasing recognition of our brand. Even with our own franchise partners, whose activities are monitored and regulated through our franchise contracts, we face risk that they may refer to or make statements about our CHAGEE brand that do not make proper use of our trademarks or required designations, that improperly alter trademarks or branding, or that are critical of our brand or place our brand in a context that may tarnish our reputation. This may result in dilution of, or harm to, our intellectual property or the value of our brand. Any of our intellectual property rights could be challenged, invalidated, circumvented or misappropriated, or such intellectual property may not be sufficient to provide us with competitive advantages. In addition, there can be no assurance that (i) our pending applications for intellectual property rights will be approved, (ii) all of our intellectual property rights will be adequately protected, or (iii) our intellectual property rights will not be challenged by third parties or found by a judicial authority to be invalid or unenforceable.</w:t>
      </w:r>
    </w:p>
    <w:p>
      <w:pPr>
        <w:spacing w:after="0" w:line="288" w:lineRule="exact"/>
        <w:rPr>
          <w:sz w:val="20"/>
          <w:szCs w:val="20"/>
          <w:color w:val="auto"/>
        </w:rPr>
      </w:pPr>
    </w:p>
    <w:p>
      <w:pPr>
        <w:jc w:val="both"/>
        <w:ind w:left="1260" w:right="4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success depends on the continuing efforts of our key management and experienced and capable personnel as well as our ability to recruit new talents. If we fail to hire, train, retain or motivate our staff, our business may suffer.</w:t>
      </w:r>
    </w:p>
    <w:p>
      <w:pPr>
        <w:spacing w:after="0" w:line="55"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Our future success is significantly dependent upon the continuous service of our key management as well as experienced and capable personnel generally. If we lose the services of any member of key management, we may not be able to locate suitable or qualified replacements, and may incur additional expenses to recruit and train new staff, which could severely disrupt our business and growth. If any of our key management joins a competitor or forms a competing business, we may lose consumers, know-how and key professionals and staff members.</w:t>
      </w:r>
    </w:p>
    <w:p>
      <w:pPr>
        <w:spacing w:after="0" w:line="66"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Our growth also requires us to hire, train, and retain a wide range of talents who can adapt to a dynamic, competitive and challenging business environment and are capable of helping us conduct effective marketing,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create creative new products, and develop technological capabilities. We will need to continue to attract, train and retain talents at all levels, such as skillful tea barista, as we expand our business and operations. We may need to offer attractive compensation and other benefits package, including share-based compensation, to attract and retain them. We also need to provide our employees with sufficient training to help them to realize their career development and grow with us. Any failure to attract, train, retain or motivate key management and experienced and capable personnel could severely disrupt our business and growth.</w:t>
      </w:r>
    </w:p>
    <w:p>
      <w:pPr>
        <w:spacing w:after="0" w:line="321" w:lineRule="exact"/>
        <w:rPr>
          <w:sz w:val="20"/>
          <w:szCs w:val="20"/>
          <w:color w:val="auto"/>
        </w:rPr>
      </w:pPr>
    </w:p>
    <w:p>
      <w:pPr>
        <w:jc w:val="both"/>
        <w:ind w:left="1260" w:right="3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business generates and processes data, which subjects us to governmental regulations and other legal obligations related to privacy, information security and data protection. Any improper use or disclosure of such data by us, our employees or our business partners could subject us to significant reputational, financial, legal and operational consequences.</w:t>
      </w:r>
    </w:p>
    <w:p>
      <w:pPr>
        <w:spacing w:after="0" w:line="53"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business generates and processes personal, transactional and other data. We face risks inherent in handling large volumes of data and in protecting the security of such data. In particular, we face a number of challenges relating to data from transactions and other activities on our system, including:</w:t>
      </w:r>
    </w:p>
    <w:p>
      <w:pPr>
        <w:spacing w:after="0" w:line="61" w:lineRule="exact"/>
        <w:rPr>
          <w:sz w:val="20"/>
          <w:szCs w:val="20"/>
          <w:color w:val="auto"/>
        </w:rPr>
      </w:pPr>
    </w:p>
    <w:p>
      <w:pPr>
        <w:ind w:left="1800" w:right="4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the data in and hosted on our system, including against attacks on our system by third parties or fraudulent behavior by our employees;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concerns related to privacy and sharing, safety, security and other factors; and</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applicable laws, rules and regulations across jurisdictions in which we and our franchise partners operate relating to the collection, use, disclosure or security of personal information, including any requests from regulatory and government authorities relating to such data.</w:t>
      </w:r>
    </w:p>
    <w:p>
      <w:pPr>
        <w:spacing w:after="0" w:line="54"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Any systems failure or security breach or lapse that results in the release of consumer data could harm our reputation and brand and, consequently, our business, in addition to exposing us to potential legal liability. In addition, our business partners and their employees may improperly use or disclose the data we disclose to them for our operation and we have limited control over the actions of our business partners and their employees. Any failure, or perceived failure, by us, our employees, our business partners, or their employees to comply with privacy policies or with any regulatory requirements or privacy protection-related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w:t>
      </w:r>
    </w:p>
    <w:p>
      <w:pPr>
        <w:spacing w:after="0" w:line="64"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Companies’ practices regarding collection, use, retention, transfer, disclosure and security of user data have been the subject of enhanced regulations and increased public scrutiny. The regulatory frameworks regarding privacy issues in many jurisdictions are constantly evolving and can be subject to significant changes from time to time. For instance, a growing number of legislative and regulatory bodies have adopted consumer notification requirements in the event of unauthorized access to or acquisition of certain types of data. In China, the PRC Cybersecurity Law, which became effective in June 2017, leaves uncertainty as to the circumstances and standards under which the law would apply and violations would be found. See “Regulations — Regulations on Cyber Security, Data and Personal Information Protection.” Complying with these obligations could lead to substantial costs. Any failure to comply with applicable regulations, whether by us, our employees, business partners, or other third parties, or as a result of employee error or negligence or otherwise, could result in regulatory enforcement actions against us and have an adverse impact on our business operations.</w:t>
      </w:r>
    </w:p>
    <w:p>
      <w:pPr>
        <w:spacing w:after="0" w:line="329"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failure to adopt new technologies to meet the evolving consumer needs and industry standards, or to maintain the satisfactory performance, security and integrity of our technology infrastructure would materially and adversely affect our business, reputation, financial condition and results of operations.</w:t>
      </w:r>
    </w:p>
    <w:p>
      <w:pPr>
        <w:spacing w:after="0" w:line="10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Keeping abreast of new technologies and maintaining the proper functioning of our technology infrastructure are critical to our business. We rely on our technology to improve consumer engagement and our operational efficiency, among others. The risks we face in relation to the adoption of new technologies and the disruption of our technology infrastructure include:</w:t>
      </w:r>
    </w:p>
    <w:p>
      <w:pPr>
        <w:spacing w:after="0" w:line="69" w:lineRule="exact"/>
        <w:rPr>
          <w:sz w:val="20"/>
          <w:szCs w:val="20"/>
          <w:color w:val="auto"/>
        </w:rPr>
      </w:pPr>
    </w:p>
    <w:p>
      <w:pPr>
        <w:jc w:val="both"/>
        <w:ind w:left="1800" w:right="419" w:hanging="180"/>
        <w:spacing w:after="0" w:line="259"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adopt new technologies to meet the evolving consumer needs, or emerging industry standards. To remain competitive, we must continue to stay abreast of the constantly evolving consumer demands and industry trends and to enhance and improve our technology accordingly. Our success will depend, in part, on our ability to introduce and apply technologies useful in our business to improve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spacing w:after="0" w:line="263" w:lineRule="auto"/>
        <w:rPr>
          <w:sz w:val="20"/>
          <w:szCs w:val="20"/>
          <w:color w:val="auto"/>
        </w:rPr>
      </w:pPr>
      <w:r>
        <w:rPr>
          <w:rFonts w:ascii="Times New Roman" w:cs="Times New Roman" w:eastAsia="Times New Roman" w:hAnsi="Times New Roman"/>
          <w:sz w:val="18"/>
          <w:szCs w:val="18"/>
          <w:color w:val="auto"/>
        </w:rPr>
        <w:t>our consumer experience and operating efficiency, including advanced tea brewing technologies. There can be no assurance that we will able to adopt and apply new technologies effectively to respond to changing market conditions or consumer preferences in a cost-efficient and timely manner.</w:t>
      </w:r>
    </w:p>
    <w:p>
      <w:pPr>
        <w:spacing w:after="0" w:line="292" w:lineRule="exact"/>
        <w:rPr>
          <w:sz w:val="20"/>
          <w:szCs w:val="20"/>
          <w:color w:val="auto"/>
        </w:rPr>
      </w:pPr>
    </w:p>
    <w:p>
      <w:pPr>
        <w:jc w:val="both"/>
        <w:ind w:left="1800" w:right="419" w:hanging="180"/>
        <w:spacing w:after="0" w:line="25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problems when upgrading our technology infrastructure including our mobile mini program, systems and software. The development, upgrades and implementation of our technology infrastructure are complex processes. Issues not identified during pre-launch testing of new products or services may only become evident when such products or services are made available to our entire consumer base. Therefore, our technology infrastructure, including our mobile mini program, may not function properly if we fail to detect or solve technical errors in a timely manner; and</w:t>
      </w:r>
    </w:p>
    <w:p>
      <w:pPr>
        <w:spacing w:after="0" w:line="79"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systems are potentially vulnerable to damage or interruption as a result of earthquakes, floods, fires, extreme temperatures, power loss, telecommunications failures, technical error, computer viruses, hacking and similar events.</w:t>
      </w:r>
    </w:p>
    <w:p>
      <w:pPr>
        <w:spacing w:after="0" w:line="10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These and other events may lead to the unavailability of our mobile mini program, interruption of our supply chain and delivery, leakage or permanent loss of consumer data, interruptions or decreases in connection speed, or other events which would affect our operations. If we experience frequent or persistent service disruptions, whether caused by failures of our own systems or those of third-party suppliers or service providers, our reputation or relationships with our consumers may be damaged and our consumers may switch to our competitors, which may have a material adverse effect on our business, financial condition and results of operations.</w:t>
      </w:r>
    </w:p>
    <w:p>
      <w:pPr>
        <w:spacing w:after="0" w:line="117"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liability for placing advertisements with content that is deemed inappropriate or misleading under PRC laws.</w:t>
      </w:r>
    </w:p>
    <w:p>
      <w:pPr>
        <w:spacing w:after="0" w:line="7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PRC laws and regulations prohibit advertising companies from producing, distributing or publishing any advertisement with content that violates PRC laws and regulations, impairs the national dignity of the PRC, involves designs of the PRC national flag, national emblem or national anthem or the music of the national anthem, is considered reactionary, obscene, superstitious or absurd, is fraudulent, or disparages similar products. We may be subject to claims by consumers misled by information on our website or other portals where we put our advertisements on. We may not be able to recover our losses from advertisers by enforcing the indemnification provisions in the contracts, which may divert management’s time and other resources from our business and operations to defend against these infringement claims. As a result, our business, financial condition and results of operations could be materially and adversely affected.</w:t>
      </w:r>
    </w:p>
    <w:p>
      <w:pPr>
        <w:spacing w:after="0" w:line="117" w:lineRule="exact"/>
        <w:rPr>
          <w:sz w:val="20"/>
          <w:szCs w:val="20"/>
          <w:color w:val="auto"/>
        </w:rPr>
      </w:pPr>
    </w:p>
    <w:p>
      <w:pPr>
        <w:jc w:val="both"/>
        <w:ind w:left="1260" w:right="39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Security breaches and attacks against our technology systems, and any potentially resulting breach or failure to otherwise protect confidential and proprietary information, could damage our reputation and negatively impact our business, as well as materially and adversely affect our financial condition and results of operations.</w:t>
      </w:r>
    </w:p>
    <w:p>
      <w:pPr>
        <w:spacing w:after="0" w:line="89"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cybersecurity measures may not detect or prevent all attempts to compromise our systems, including distributed denial-of-service attacks, viruses, malicious software, break-ins, phishing attacks, social engineering, security breaches or other attacks and similar disruptions that may jeopardize the security of information stored in and transmitted by our systems or that we otherwise maintain. Breaches of our cybersecurity measures could result in unauthorized access to our systems, misappropriation of information or data, deletion or modification of consumer information, or a denial of service or other interruption to our business operations. As techniques used to obtain unauthorized access to or sabotage systems change frequently and may not be known until launched against us or our third-party service providers, we may be unable to anticipate, or implement adequate measures to protect against, these attacks.</w:t>
      </w:r>
    </w:p>
    <w:p>
      <w:pPr>
        <w:spacing w:after="0" w:line="107"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may be subject to these types of attacks in the future. If we are unable to avert these attacks and security breaches, we could be subject to significant legal and financial liability, our reputation would be harmed and we could sustain substantial lost sales and consumer dissatisfaction. We may not have the resources or technical sophistication to anticipate or prevent rapidly evolving types of cyber-attacks. Actual or anticipated attacks and risks may cause us to incur significantly higher costs, including costs to deploy additional personnel and network protection technologies, train employees and engage third-party experts and consultants.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use software licensed from third parties. Our ability to provide consumers with a high-quality online experience also depends on the satisfactory performance, reliability and availability of software licensed from third parties.</w:t>
      </w:r>
    </w:p>
    <w:p>
      <w:pPr>
        <w:spacing w:after="0" w:line="14"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use software licensed from third parties. Any system interruptions caused by telecommunications failures, computer viruses, or hacking or other attempts to harm the software licensed from third parties that result in the unavailability of our mobile apps or reduced performance would affect the attractiveness of the services offered on our platform. We may encounter problems when software licensed from third parties is upgraded and undetected programming errors could adversely affect the performance of the software we use to provide our services. In addition, we could be required to seek licenses from third parties in order to continue using the open-source software we are permitted to use currently, in which case licenses may not be available on terms that are acceptable to us, or at all. Alternatively, we may need to re-engineer our platform or discontinue the use of portions of the functionality provided by our platforms. Our inability to use third-party software could result in disruptions to our business, or delays in the development of future offerings or enhancements of our existing platforms, which could materially and adversely affect our business and results of operations.</w:t>
      </w:r>
    </w:p>
    <w:p>
      <w:pPr>
        <w:spacing w:after="0" w:line="282" w:lineRule="exact"/>
        <w:rPr>
          <w:sz w:val="20"/>
          <w:szCs w:val="20"/>
          <w:color w:val="auto"/>
        </w:rPr>
      </w:pPr>
    </w:p>
    <w:p>
      <w:pPr>
        <w:jc w:val="both"/>
        <w:ind w:left="1260" w:right="41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our directors, shareholders, management and employees may be subject to litigation and regulatory investigations and proceedings, such as claiming in relation to food safety, commercial, labor, employment, antitrust or securities matters, and may not always be successful in defending ourselves against such claims or proceedings.</w:t>
      </w:r>
    </w:p>
    <w:p>
      <w:pPr>
        <w:spacing w:after="0" w:line="2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face potential liability, expenses for legal claims and harm due to our business nature. For example, consumers could assert legal claims against us in connection with personal injuries related to food poisoning or tampering. The PRC government, media outlets and public advocacy groups have been increasingly focused on consumer protection in recent years. See “Regulation — Regulations on Consumer Protection.” Sales of defective products may expose us to liabilities associated with consumer protection laws. Sellers are responsible for compensation on consumers’ loss even if the contamination of food is not caused by the sellers. Therefore, we may also be held liable if our suppliers or other business partners fail to comply with applicable food-safety-related rules and regulations. Though we can ask the responsible parties for indemnity after that, our reputation could still be adversely affected. In addition, our directors, management and employees may from time to time be subject to litigation and regulatory investigations and proceedings or otherwise face potential liability and expense in relation to commercial, labor, employment, antitrust, securities or other matters, which could adversely affect our reputation and results of operations.</w:t>
      </w:r>
    </w:p>
    <w:p>
      <w:pPr>
        <w:spacing w:after="0" w:line="6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After we become a publicly listed company, we may face additional exposure to claims and lawsuits. These claims could divert management time and attention away from our business and result in significant costs to investigate and defend, regardless of the merits of the claims. In some instances, we may elect or be forced to pay substantial damages if we are unsuccessful in our efforts to defend against these claims, which could harm our business, financial condition and results of operations.</w:t>
      </w:r>
    </w:p>
    <w:p>
      <w:pPr>
        <w:spacing w:after="0" w:line="58"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which may be expensive to defend and may disrupt our business.</w:t>
      </w:r>
    </w:p>
    <w:p>
      <w:pPr>
        <w:spacing w:after="0" w:line="24"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cannot be certain that our operations or any aspects of our business do not or will not infringe upon or otherwise violate intellectual property rights held by third parties. We have not but in the future may be, subject to legal proceedings and claims relating to the intellectual property rights of others. There could also be existing intellectual property of which we are not aware that our products may inadvertently infringe. We cannot assure you that holders of intellectual property purportedly relating to some aspect of our technology platform or business, if any such holders exist, would not seek to enforce such intellectual property against us in China, the United States or any other jurisdictions. If we are found to have violated the intellectual property rights of others, we may be subject to liability for our infringement activities or may be prohibited from using such intellectual property, and we may incur licensing fees or be forced to develop alternatives of our own. In addition, we may incur significant expenses, and may be forced to divert management’s time and other resources from our business and operations to defend against these infringement claims, regardless of their merits. Successful infringement or licensing claims made against us may result in significant monetary liabilities and may materially disrupt our business and operations by restricting or prohibiting our use of the intellectual property in question, and our business, financial position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seasonal fluctuations and unexpected interruptions.</w:t>
      </w:r>
    </w:p>
    <w:p>
      <w:pPr>
        <w:spacing w:after="0" w:line="10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experience seasonality in our business. We generally experience fewer purchase orders during seasons when the weather is cold. Additionally, the market price of raw materials, and consequently, our cost associated with the procurement of raw materials may fluctuate throughout the year, affecting our results of operations and financial conditions. As such, our historical quarterly results may not be comparable to future quarters. As a result, the trading price of the ADSs may fluctuate from time to time due to seasonality.</w:t>
      </w:r>
    </w:p>
    <w:p>
      <w:pPr>
        <w:spacing w:after="0" w:line="267"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Overall tightening of the labor market, increases in labor costs or any possible labor unrest may adversely affect our business and results of operations. We may be subject to additional contributions of social insurance and housing fund and late payments and fines imposed by relevant governmental authorities.</w:t>
      </w:r>
    </w:p>
    <w:p>
      <w:pPr>
        <w:spacing w:after="0" w:line="10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Our business requires a substantial number of personnel. Any failure to retain stable and dedicated labor by us may lead to disruption to our business operations. Although we have not experienced any labor shortage to date, we have observed an overall tightening and increasingly competitive labor market. We have experienced, and expect to continue to experience, increases in labor costs due to increases in salary, social benefits and employee headcount. We compete with other companies in our industry and other labor-intensive industries for labor, and we may not be able to offer competitive remuneration and benefits compared to them. If we are unable to manage and control our labor costs, our business, financial condition and results of operations may be materially and adversely affected.</w:t>
      </w:r>
    </w:p>
    <w:p>
      <w:pPr>
        <w:spacing w:after="0" w:line="58"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accordance with the PRC Social Insurance Law and the Regulations on the Administration of Housing Fund and other relevant laws and regulations, China establishes a social insurance system and other employee benefits including basic pension insurance, basic medical insurance, work-related injury insurance, unemployment insurance, maternity insurance, housing fund, and a handicapped employment security fund (collectively, the “</w:t>
      </w:r>
      <w:r>
        <w:rPr>
          <w:rFonts w:ascii="Times New Roman" w:cs="Times New Roman" w:eastAsia="Times New Roman" w:hAnsi="Times New Roman"/>
          <w:sz w:val="18"/>
          <w:szCs w:val="18"/>
          <w:b w:val="1"/>
          <w:bCs w:val="1"/>
          <w:color w:val="auto"/>
        </w:rPr>
        <w:t>Employee Benefits</w:t>
      </w:r>
      <w:r>
        <w:rPr>
          <w:rFonts w:ascii="Times New Roman" w:cs="Times New Roman" w:eastAsia="Times New Roman" w:hAnsi="Times New Roman"/>
          <w:sz w:val="18"/>
          <w:szCs w:val="18"/>
          <w:color w:val="auto"/>
        </w:rPr>
        <w:t>”). An employer shall pay the Employee Benefits for its employees in accordance with the rates provided under relevant regulations and shall withhold the social insurance and other Employee Benefits that should be assumed by the employees. For example, an employer that has not made social insurance contributions at a rate and based on an amount prescribed by the law, or at all, may be ordered to rectify the non- compliance and pay the required contributions within a stipulated deadline and be subject to a late fee of up to 0.05% per day. If the employer still fails to rectify the failure to make social insurance contributions within the stipulated deadline, it may be subject to a fine ranging from one to three times of the amount overdue and a late fee of up to 0.2% per day.</w:t>
      </w:r>
    </w:p>
    <w:p>
      <w:pPr>
        <w:spacing w:after="0" w:line="7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Under the Social Insurance Law and the Regulations on the Administration of Housing Fund, PRC subsidiaries shall register with local social insurance agencies and register with applicable housing fund management centers and establish a special housing fund account in an entrusted bank. Both PRC subsidiaries and their employees are required to contribute to the Employee Benefits.</w:t>
      </w:r>
    </w:p>
    <w:p>
      <w:pPr>
        <w:spacing w:after="0" w:line="56"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As of the date of this prospectus, we have not made full contributions to Employee Benefits for our employees, and we recorded accruals of RMB53.4 million and RMB57.0 million (US$7.8 million) as of December 31, 2023 and 2024, respectively, for the estimated unpaid amounts of Employee Benefits that we might be required to pay in our financial statements. We have not received any notice from the relevant government authorities or any claim or request from these employees in this regard. However, we cannot assure you that the relevant government authorities will not require us to pay the outstanding amount and impose late fees or fines on us. If we fail to make the outstanding social insurance contributions within the prescribed time frame, we may be subject to a fine of up to three times the amount of the overdue payment. We might be subject to additional contribution, late payment fee and/or penalties imposed by the relevant PRC authorities if the third-party human resource agencies failed to pay the Employee Benefits for the relevant employees in full amount and/or in a timely manner, or if the validity of such arrangements are challenged by competent PRC authorities. If we are otherwise subject to investigations related to non-compliance with labor laws and are imposed severe penalties or incur significant legal fees in connection with labor law disputes or investigations, our business, financial condition and results of operations may be adversely affected.</w:t>
      </w:r>
    </w:p>
    <w:p>
      <w:pPr>
        <w:spacing w:after="0" w:line="274" w:lineRule="exact"/>
        <w:rPr>
          <w:sz w:val="20"/>
          <w:szCs w:val="20"/>
          <w:color w:val="auto"/>
        </w:rPr>
      </w:pPr>
    </w:p>
    <w:p>
      <w:pPr>
        <w:jc w:val="both"/>
        <w:ind w:left="1260" w:right="3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Non-compliance with labor-related laws and regulations of the PRC may have an adverse impact on our financial condition and results of operation.</w:t>
      </w:r>
    </w:p>
    <w:p>
      <w:pPr>
        <w:spacing w:after="0" w:line="9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have been subject to strict regulatory requirements in terms of entering into labor contracts with our employees and paying various statutory employee benefits, including basic pensions, housing fund, medical insurance, work-related injury insurance, unemployment insurance and maternity insurance to designated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government agencies for the benefit of our employees. Pursuant to the PRC Labor Contract Law, or the Labor Contract Law, that became effective in January 2008 and was amended in December 2012, and its implementing rules that became effective in September 2008, employers are subject to strict requirements in terms of signing labor contracts, minimum wages, paying remuneration, determining the term of employees’ probation and unilaterally terminating labor contracts. If we are subject to severe penalties or incur significant legal fees in connection with labor-related laws and regulations, our business, financial condition and results of operations may be adversely affected.</w:t>
      </w:r>
    </w:p>
    <w:p>
      <w:pPr>
        <w:spacing w:after="0" w:line="121"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Specifically, in the event that we decide to terminate some of our employees or otherwise change our employment or labor practices, the Labor Contract Law and its implementation rules may limit our ability to effect those changes in a desirable or cost-effective manner, which could adversely affect our business and results of operations. In addition, we engage dispatched workers from third-party employment agencies as teahouse staff. Pursuant to the Labor Contract Law and its amendments, dispatched workers may only be engaged for temporary, ancillary or substitute positions. We cannot assure you that the relevant governmental authorities will determine that our dispatched workers are engaged for temporary, ancillary or substitute positions. The Interim Provisions on Labor Dispatch, which became effective on March 1, 2014, further provides that the number of dispatched workers an employer may use must not exceed 10% of its total labor force. As of December 31, 2024, the number of dispatched workers of some of our PRC subsidiaries and consolidated entities, as a percentage of their respective total employee count, has exceeded such threshold. While we expect to implement a plan to reduce the percentage of dispatched workers to below 10%, we cannot assure you that we will be able to find replacement for dispatched workers on a timely basis or without incurring significant additional labor and administrative costs. As a result, we could be ordered by the relevant labor administrative authorities to rectify within a specified period of time, and could be subject to fines if the rectification is not completed in time to the authorities’ satisfaction. If we fail to comply within the time period specified by the labor authority, we may be subject to a penalty ranging from RMB5,000 to RMB10,000 per dispatched worker exceeding the 10% threshold. Additionally, we could be required to provide additional compensation to our employees and our business, financial condition and results of operations could be materially and adversely affected.</w:t>
      </w:r>
    </w:p>
    <w:p>
      <w:pPr>
        <w:spacing w:after="0" w:line="33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share options and other forms of share-based incentive awards, which have resulted in and may continue to result in significant share based compensation expenses.</w:t>
      </w:r>
    </w:p>
    <w:p>
      <w:pPr>
        <w:spacing w:after="0" w:line="78"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adopted the Public Company Share Incentive Plan, or the Plan, in February 2024 for the purpose of granting equity awards to employees and other individuals to incentivize their performance and align their interests with ours. Under the Plan, the maximum aggregate number of ordinary shares we are authorized to issue pursuant to equity awards granted thereunder is 28,061,349 Class A ordinary shares prior to this offering. As of the date of this prospectus, options to purchase a total of 11,092,248 Class A ordinary shares have been granted and remain outstanding under the Plan. Effective from and after the completion of this offering, such share limit will be increased automatically on January 1 of a calendar year, if and when the Class A ordinary shares reserved as of December 31 of the immediately preceding calendar year account for less than 1% of the total then-issued and outstanding Class A ordinary shares on an as-converted basis on the same date, as a result of which increase the share limit immediately after each such increase shall equal 5% of the then issued and outstanding Class A ordinary shares on an as-converted basis on December 31 of the immediately preceding calendar year. See “Management — Equity Incentive Plan — Public Company Share Incentive Plan” for details. We account for compensation costs for all share options using a fair value-based method and recognize expenses in our consolidated statement of income in accordance with U.S. GAAP. We believe the granting of equity awards is of significant importance to our ability to attract and retain key personnel and employees, and we will continue to grant equity awards to employees in the future. As a result, our expenses associated with share-based compensation may increase, which may have an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39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material weaknesses in our internal control over financial reporting. If we fail to implement and maintain an effective system of internal controls or to remediate our material weaknesses over financial reporting, we may be unable to accurately report our results of operations, meet our reporting obligations or prevent fraud, and investor confidence and the market price of the ADSs may be materially and adversely affected.</w:t>
      </w:r>
    </w:p>
    <w:p>
      <w:pPr>
        <w:spacing w:after="0" w:line="93"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Prior to this offering, we have been a private company with limited accounting and financial reporting personnel and other resources to address our internal controls and procedures. In connection with the audit of our consolidated financial statements as of and for the year ended December 31, 2024 included in this prospectus, we and our independent registered public accounting firm identified one material weakness in our internal control over financial reporting. As defined in the standards established by the Public Company Accounting Oversight Board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32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material weakness identified is related to us not having sufficient financial reporting and accounting personnel with appropriate knowledge of accounting principles generally accepted in the United States of America (“U.S. GAPP”) to (i) properly address complex accounting transactions, and (ii) prepare and review consolidated financial statements and related disclosures in accordance with U.S. GAAP. The material weaknesses, if not remediated, may lead to material misstatements in our consolidated financial statements in the future. Neither we nor our independent registered public accounting firm undertook a comprehensive assessment of our internal control over financial reporting for purposes of identifying and reporting material weaknesses and other deficiencies in our internal control over financial reporting. Had we performed a comprehensive assessment of our internal control over financial reporting or had our independent registered public accounting firm performed an audit of our internal control over financial reporting, additional deficiencies may have been identified.</w:t>
      </w:r>
    </w:p>
    <w:p>
      <w:pPr>
        <w:spacing w:after="0" w:line="121"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are in the process of implementing a number of measures to address the material weaknesses that have been identified. For more details, see “Management’s Discussion and Analysis of Financial Condition and Results of Operations — Internal Control over Financial Reporting.” However, we cannot assure you that these measures will fully address the material weakness in our internal control over financial reporting or that we may conclude that they have been fully remediated.</w:t>
      </w:r>
    </w:p>
    <w:p>
      <w:pPr>
        <w:spacing w:after="0" w:line="100" w:lineRule="exact"/>
        <w:rPr>
          <w:sz w:val="20"/>
          <w:szCs w:val="20"/>
          <w:color w:val="auto"/>
        </w:rPr>
      </w:pPr>
    </w:p>
    <w:p>
      <w:pPr>
        <w:jc w:val="both"/>
        <w:ind w:left="1260" w:right="419" w:firstLine="360"/>
        <w:spacing w:after="0" w:line="232" w:lineRule="auto"/>
        <w:rPr>
          <w:sz w:val="20"/>
          <w:szCs w:val="20"/>
          <w:color w:val="auto"/>
        </w:rPr>
      </w:pPr>
      <w:r>
        <w:rPr>
          <w:rFonts w:ascii="Times New Roman" w:cs="Times New Roman" w:eastAsia="Times New Roman" w:hAnsi="Times New Roman"/>
          <w:sz w:val="18"/>
          <w:szCs w:val="18"/>
          <w:color w:val="auto"/>
        </w:rPr>
        <w:t>We are subject to the Sarbanes-Oxley Act of 2002. Section 404 of the Sarbanes -Oxley Act, or Section 404, will require that we include a report from management on the effectiveness of our internal control over financial reporting in our annual report on Form 20-F beginning with our annual report in our second annual report on Form 20-F after becoming a public company. In addition, beginning with our second annual report on Form 20-F, our independent registered public accounting firm will be required to attest to the effectiveness of our internal control over financial reporting on an annual basis. Moreover, even if our management concludes that our internal control over financial reporting is effective, our independent registered public accounting firm, after conducting its own independent testing, may issue an adverse opinion on the effectiveness of internal control over financial reporting because of the existence of a material weakness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2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other weaknesses and deficiencies in our internal control over financial reporting. If we fail to maintain the adequacy of our internal control over financial reporting, we may not be able to conclude on an ongoing basis that we have effective internal control over financial reporting in accordance with Section 404. If we fail to achieve and maintain effective internal control over financial reporting,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the ADSs, may be materially and adversely affected. Additionally, ineffective internal control over financial reporting could expose us to increased risk of fraud or misuse of corporate assets and subject us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potential delisting from the stock exchange on which we list, regulatory investigations and civil or criminal sanctions. We may also be required to restate our financial statements from prior periods.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for our operations.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insurance industry in China is still at an early stage of development, and insurance companies in China currently offer limited business-related insurance products. Although we have commercial general liability insurance that covers liabilities and damages arising from our operations, those insurances may not be able to cover all risks. Any uninsured risks and liabilities such as damages to or loss of properties may result in substantial costs and the diversion of resources, which could adversely affect our results of operations and financial condition. In addition, food and beverage sectors in China have historically been the target of litigation and other proceedings that are costly distracting to the management attention. A judgment or other liability in excess of our insurance coverage for any such claims or any related adverse publicity could adversely affect our business and results of operations.</w:t>
      </w:r>
    </w:p>
    <w:p>
      <w:pPr>
        <w:spacing w:after="0" w:line="103"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outbreaks, which could significantly disrupt our business, financial condition and results of operations.</w:t>
      </w:r>
    </w:p>
    <w:p>
      <w:pPr>
        <w:spacing w:after="0" w:line="91"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We are vulnerable to natural disasters, health epidemics (such as the COVID-19 pandemic), and other calamities. Any of such occurrences could cause severe disruption to the daily operations of us, and may even require a temporary closure of facilities and logistics delivery networks, which may disrupt our business operations and adversely affect our results of operations. In addition, our results of operations could be adversely affected to the extent that any of these catastrophic events harm the Chinese economy in general.</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Relating to Doing Business in China</w:t>
      </w:r>
    </w:p>
    <w:p>
      <w:pPr>
        <w:spacing w:after="0" w:line="158" w:lineRule="exact"/>
        <w:rPr>
          <w:sz w:val="20"/>
          <w:szCs w:val="20"/>
          <w:color w:val="auto"/>
        </w:rPr>
      </w:pPr>
    </w:p>
    <w:p>
      <w:pPr>
        <w:jc w:val="both"/>
        <w:ind w:left="1260" w:right="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exerts substantial influence over the manner in which we conduct our business operations. Our business is subject to complex and evolving policies, laws and regulations, the application, interpretation and enforcement of which may be changed from time to time. Failure to comply with these laws and regulations may materially and adversely affect us.</w:t>
      </w:r>
    </w:p>
    <w:p>
      <w:pPr>
        <w:spacing w:after="0" w:line="99"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Most of our operating entities are incorporated under and governed by the laws of the PRC. In 1979, the PRC regulatory authority began to promulgate a comprehensive system of laws and regulations governing economic matters in general. The overall effect of legislation over the past three decades has significantly enhanced the protections afforded to various forms of foreign investments in China. In particular, the PRC legal system is a civil law system based on written statutes. Prior court decisions under the civil law system may be cited for reference.</w:t>
      </w:r>
    </w:p>
    <w:p>
      <w:pPr>
        <w:spacing w:after="0" w:line="120"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Our PRC subsidiaries are subject to laws and regulations applicable to foreign-invested enterprises as well as various PRC laws and regulations generally applicable to companies incorporated in China. Since these laws and regulations are relatively new and the PRC legal system continues to rapidly evolve, the interpretations of many laws, regulations and rules and enforcement of these laws, regulations and rules may be determined on an ad hoc basis depending on the facts and circumstances. These unexpected changes may affect our judgment on the relevance of legal requirements and our ability to enforce our contractual rights or tort claims. In addition, unexpected regulatory changes may be exploited by third parties through unmerited or frivolous legal actions or threats in attempts to extract payments or benefits from us. Furthermore, any administrative and court proceedings in China may be protracted, resulting in substantial costs and diversion of resources and management attention.</w:t>
      </w:r>
    </w:p>
    <w:p>
      <w:pPr>
        <w:spacing w:after="0" w:line="127"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Chinese government has significant oversight and discretion over the conduct of our business and may intervene or influence our operations at any time, which could result in a material change in our operations and/or the value of the ADSs. The Chinese government has recently published new policies that significantly affected certain industries and we cannot rule out the possibility that it will in the future release regulations or policies that directly or indirectly affect our industry or require us to seek additional permission to continue our operations. Therefore, investors of our company and our business face potential uncertainty from actions taken by the Chinese government affecting our business. For example, although our industry currently faces no foreign ownership restrictions in China, PRC regulatory authorities retain the authority to impose such limitations in the future. This could potentially invalidate our existing holding company structure and pose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risk of business operations disruption in China. See “— Uncertainties exist with respect to how the PRC Foreign Investment Law may impact the viability of our current corporate structure and operations.”</w:t>
      </w:r>
    </w:p>
    <w:p>
      <w:pPr>
        <w:spacing w:after="0" w:line="94"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Additionally, the Chinese government has exerted more oversight and control over offerings that are conducted overseas and foreign investment in China-based issuers. Such actions could significantly limit or completely hinder our ability to offer or continue to offer securities to investors and cause the value of the ADSs to significantly decline or become worthless. For more details, see “— The approval, filing or other requirements of the CSRC or other PRC regulatory authorities is required under PRC law in connection with our issuance of securities overseas. Failure to file or report with the CSRC for this offering or any actions by the PRC government to exert more oversight and control over offerings that are conducted overseas and foreign investment in China-based issuers in the future could significantly limit or completely hinder our ability to offer or continue to offer our ordinary shares to investors and could cause the value of our ordinary shares to significantly decline or become worthless.”</w:t>
      </w:r>
    </w:p>
    <w:p>
      <w:pPr>
        <w:spacing w:after="0" w:line="127"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cannot assure you that we will be able to comply with these new laws and regulations in all respects, and we may be ordered to rectify, suspend or terminate any actions or services that are deemed illegal by the regulatory authorities and become subject to material penalties. We may also face government inquiries, investigations or other actions under the complex and changing regulatory environment. As a result, we may experience difficulties and incur higher costs in rendering our existing services and delivering new services, which could in turn increase our costs and expenses, divert management time and attention, expose us to liabilities and impede our growth. All of these may materially harm our group’s business, financial condition, results of operations and prospects, as well as the value of the ADSs.</w:t>
      </w:r>
    </w:p>
    <w:p>
      <w:pPr>
        <w:spacing w:after="0" w:line="107"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exist with respect to how the PRC Foreign Investment Law may impact the viability of our current corporate structure and operations.</w:t>
      </w:r>
    </w:p>
    <w:p>
      <w:pPr>
        <w:spacing w:after="0" w:line="91"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Laws regulating foreign investment in China include the PRC Foreign Investment Law, or the PRC FIL, effective from January 1, 2020, and the Regulation on Implementing the PRC Foreign Investment Law, or the Implementation Regulations, effective from January 1, 2020. The PRC FIL specifies that foreign investments shall be conducted in line with the “negative list” to be issued or approved to be issued by the State Council. While we do not operate in an industry that is currently subject to foreign investment restrictions or prohibition in China, it is uncertain whether our industry will be named in an updated “negative list” to be issued in the future. If our industry is added to the “negative list,” or if the PRC regulatory authorities otherwise decide to limit foreign ownership in our industry and/or disallow our holding company structure in the future, there could be a risk that we would be unable to do business in China as we are currently structured. If any new laws and/or regulations on foreign investments in China are promulgated and implemented, such changes could have a significant impact on our current corporate structure, which in turn could have a material adverse impact on our business and operations, our ability to raise capital and the market price of the ADSs. In such event, despite our efforts to restructure to comply with the then applicable PRC laws and regulations in order to continue our operations in China, we may experience material changes in our business and results of operations, our attempts may prove to be futile due to factors beyond our control, and the value of the ADSs you invest in may significantly decline or become worthless.</w:t>
      </w:r>
    </w:p>
    <w:p>
      <w:pPr>
        <w:spacing w:after="0" w:line="339" w:lineRule="exact"/>
        <w:rPr>
          <w:sz w:val="20"/>
          <w:szCs w:val="20"/>
          <w:color w:val="auto"/>
        </w:rPr>
      </w:pPr>
    </w:p>
    <w:p>
      <w:pPr>
        <w:jc w:val="both"/>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operations.</w:t>
      </w:r>
    </w:p>
    <w:p>
      <w:pPr>
        <w:spacing w:after="0" w:line="7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 critical part of our business operations is located in China. Accordingly, our business, prospect, financial condition and results of operations may be influenced to a significant degree by political, legal, economic and social conditions in China generally, and by continuous economic growth in China as a whole. The PRC economy has experienced significant growth over the past decades since the implementation of China’s reform and opening-up policy. In recent years, the PRC government has implemented economic reform measures may be adaptively adjusted from industry to industry or across different regions of the country. If the business environment in China changes, our business and its growth prospects may be adversely affected. In addition, the Chinese regulators continue to play a significant role in regulating industry development by imposing industrial policies. PRC government regulates the economy through the allocation of resources, controlling payment of foreign currency-denominated obligations, setting monetary policy and providing preferential treatment to particular industries or companies.</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Any adverse changes in economic conditions in China, in the policies promulgated by the Chinese regulators or in the laws and regulations in China could have a material adverse effect on the overall economic growth of China. Such developments could adversely affect our business and operating results, lead to a reduction in demand for our services and adversely affect our competitive position. The Chinese regulators have implemented various measures to encourage economic growth and guide the allocation of resources. Some of these measures may benefit the overall Chinese economy, but may have a negative effect on us.</w:t>
      </w:r>
    </w:p>
    <w:p>
      <w:pPr>
        <w:spacing w:after="0" w:line="321" w:lineRule="exact"/>
        <w:rPr>
          <w:sz w:val="20"/>
          <w:szCs w:val="20"/>
          <w:color w:val="auto"/>
        </w:rPr>
      </w:pPr>
    </w:p>
    <w:p>
      <w:pPr>
        <w:jc w:val="both"/>
        <w:ind w:left="1260" w:right="419"/>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The approval, filing or other requirements of the CSRC or other PRC regulatory authorities is required under PRC law in connection with our issuance of securities overseas. Failure to file or report with CSRC for this offering or any actions by the PRC government to exert more oversight and control over offerings that are conducted overseas and foreign investment in China-based issuers in the future could significantly limit or completely hinder our ability to offer or continue to offer our ordinary shares to investors and could cause the value of our ordinary shares to significantly decline or become worthless.</w:t>
      </w:r>
    </w:p>
    <w:p>
      <w:pPr>
        <w:spacing w:after="0" w:line="111"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(the “</w:t>
      </w:r>
      <w:r>
        <w:rPr>
          <w:rFonts w:ascii="Times New Roman" w:cs="Times New Roman" w:eastAsia="Times New Roman" w:hAnsi="Times New Roman"/>
          <w:sz w:val="18"/>
          <w:szCs w:val="18"/>
          <w:b w:val="1"/>
          <w:bCs w:val="1"/>
          <w:color w:val="auto"/>
        </w:rPr>
        <w:t>M&amp;A Rules</w:t>
      </w:r>
      <w:r>
        <w:rPr>
          <w:rFonts w:ascii="Times New Roman" w:cs="Times New Roman" w:eastAsia="Times New Roman" w:hAnsi="Times New Roman"/>
          <w:sz w:val="18"/>
          <w:szCs w:val="18"/>
          <w:color w:val="auto"/>
        </w:rPr>
        <w:t>”) purport to require offshore special purpose vehicles that are controlled by PRC companies or individuals and that have been formed for the purpose of seeking a public listing on an overseas stock exchange through acquisitions of PRC domestic companies or subscription of new shares issued by PRC domestic company using the equity of offshore special purpose vehicles or using its new shares as consideration, to obtain approval from the CSRC prior to publicly listing their securities on an overseas stock exchange. The interpretation and application of the regulations remain unclear. If CSRC approval under the M&amp;A Rules is required, it is uncertain whether it would be possible for us to obtain the approval, and any failure to obtain or delay in obtaining CSRC approval for this offering would subject us to sanctions imposed by the CSRC and other PRC regulatory agencies.</w:t>
      </w:r>
    </w:p>
    <w:p>
      <w:pPr>
        <w:spacing w:after="0" w:line="11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King &amp; Wood Mallesons, our PRC legal counsel has advised us that, based on its understanding of the current PRC laws and regulations, we will not be required under the M&amp;A Rules to submit an application to the CSRC for its approval of this offering and the listing and trading of the ADSs on Nasdaq because the CSRC currently has not issued any definitive rule or interpretation concerning whether offerings like ours under this prospectus are subject to this regulation. However, King &amp; Wood Mallesons, our PRC legal counsel has further advised us that there remains some uncertainty as to how the M&amp;A Rules will be interpreted or implemented in the context of an overseas offering, and its opinions summarized above are subject to any new laws, rules and regulations or detailed implementations and interpretations in any form relating to the M&amp;A Rules. We cannot assure you that relevant PRC regulatory agencies, including the CSRC, would reach the same conclusion as King &amp; Wood Mallesons, our PRC legal counsel.</w:t>
      </w:r>
    </w:p>
    <w:p>
      <w:pPr>
        <w:spacing w:after="0" w:line="118"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Furthermore, numerous regulations, guidelines and other measures have been or are expected to be adopted under the umbrella of or in addition to the Cybersecurity Law, Data Security Law and Personal Information Protection Law, including (i) the Measures for the Security Assessment for Cross-border Transfer of Personal Information (Draft for Comments) published by the Cyberspace Administration of China, or CAC, in 2019, which may, upon enactment, require security review before transferring personal information out of China, (ii) the Cybersecurity Review Measures, which were published on December 28, 2021 and came into effect on February 15, 2022, providing that a “network platform operator” that possesses personal information of more than one million users and seeks a listing in a foreign country must apply for a cybersecurity review, and (iii) the Measures for the Security Assessment of Cross-border Data Transfer, which came into effect on September 1, 2022, providing that certain types of data processors transferring important data or personal information collected and generated during operations within the territory of the PRC to an overseas recipient must apply for security assessment of cross-border data transfer. As a network platform operator who possesses personal information of more than one million users for purposes of the Cybersecurity Review Measures, we have applied for and completed a cybersecurity review with respect to our proposed overseas listing pursuant to the Cybersecurity Review Measures. In addition to the Cybersecurity Review Measures, the Chinese government has introduced a wide range of laws and regulations on cybersecurity, data security, and personal information protection in recent years. For example, the PRC Cybersecurity Law, which came into effect on June 1, 2017, requires network constructors, operators, and service providers to implement cybersecurity protection measures and strengthen network information management. On September 12, 2022, the CAC proposed draft amendments to the PRC Cybersecurity Law, imposing stricter legal liabilities for certain violations. These amendments were publicly solicited until September 29, 2022, and uncertainties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remain regarding their final form, interpretation, and implementation. The PRC Data Security Law, promulgated on June 10, 2021, and effective since September 2021, outlines data security obligations for entities and individuals engaged in data processing activities. It also introduces a national security review procedure for data processing activities that may affect national security and imposes restrictions on the cross-border transfer of certain data. Similarly, the PRC Personal Information Protection Law, promulgated on August 20, 2021, and effective since November 1, 2021, establishes principles for the processing of personal information and imposes responsibilities on personal information processors. As of the date of this prospectus, we are in compliance with the currently effective and applicable PRC laws on cybersecurity and data security in all material respects, and we have received the required permissions and approvals from the CAC for our business operations and this offering. On September 30, 2024, the State Council released the Regulations on the Management of Network Data Security (the “Regulations on MNDS”), which has come into force on January 1, 2025. The Regulations on MNDS is not only the first at the administrative regulation level specifically for network data security, but it also serves as a comprehensive implementing regulation for the compliance requirements set out by the Cybersecurity Law, Data Security Law, and Personal Information Protection Law. The Regulations on MNDS introduces several key obligations, including requiring network data handlers to specify the purpose and method of personal information processing, as well as the types of personal information involved, before any personal information is handled. It also establishes broader contractual requirements for data sharing between data handlers. We will continue to adopt relevant improvement measures to ensure effective protection and lawful utilization of data and personal information. While the currently effective laws and regulations in China regarding cybersecurity, data, and personal information protection do not have a material adverse impact on our business or offshore listing plan, constantly updated and stricter regulations may increase our compliance costs, alter our compliance obligations, and subject us to certain restrictions or regulatory penalties.</w:t>
      </w:r>
    </w:p>
    <w:p>
      <w:pPr>
        <w:spacing w:after="0" w:line="341"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On February 17, 2023, the CSRC published the Overseas Listing Filing Rules, which came into effect on March 31, 2023 and regulate both direct and indirect overseas offering and listing of PRC-based companies by adopting a filing-based regulatory regime. According to the Overseas Listing Filing Rules, if the issuer meets both of the following criteria, the overseas securities offering and listing conducted by such issuers shall be deemed as indirect overseas offering and listing: (i) more than 50% of the issuer’s operating revenue, total profit, total assets or net assets as documented in its audited consolidated financial statements for the most recent accounting year is accounted for by domestic companies; and (ii) the main parts of the issuer’s business activities are conducted in China, or its main places of business are located in China, or the senior managers in charge of its business operation and management are majority Chinese citizens or domiciled in China. Therefore, we are required to comply with the relevant requirements under the Overseas Listing Filing Rules in connection with this offering.</w:t>
      </w:r>
    </w:p>
    <w:p>
      <w:pPr>
        <w:spacing w:after="0" w:line="121"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Overseas Listing Filing Rules provide that (i) the filing applications be submitted to the CSRC within three business days after the issuer submits its application documents relating to the initial public offering and/or listing in overseas; (ii) a timely report be submitted to the CSRC and update its CSRC filing within three business days after the occurrence of any of the following material events, if any of the following events occurs before the completion of the overseas offering and/or listing but after the completion of its CSRC filing: (a) any material change to principal business, licenses or qualifications of the issuer, (b) a change of control of the issuer or any material change to equity structure of the issuer, and</w:t>
      </w:r>
    </w:p>
    <w:p>
      <w:pPr>
        <w:spacing w:after="0" w:line="4" w:lineRule="exact"/>
        <w:rPr>
          <w:sz w:val="20"/>
          <w:szCs w:val="20"/>
          <w:color w:val="auto"/>
        </w:rPr>
      </w:pPr>
    </w:p>
    <w:p>
      <w:pPr>
        <w:jc w:val="both"/>
        <w:ind w:left="1260" w:right="419"/>
        <w:spacing w:after="0" w:line="238" w:lineRule="auto"/>
        <w:tabs>
          <w:tab w:leader="none" w:pos="15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to the offering and listing plan; (iii) after the completion of the listing, a report relating to the issuance information of such offering and/or listing be submitted to the CSRC and a report be submitted to the CSRC within three business days upon the occurrence and public announcement of any of the following material events after the overseas offering and/or listing: (a) a change of control of the issuer,</w:t>
      </w:r>
    </w:p>
    <w:p>
      <w:pPr>
        <w:spacing w:after="0" w:line="2" w:lineRule="exact"/>
        <w:rPr>
          <w:rFonts w:ascii="Times New Roman" w:cs="Times New Roman" w:eastAsia="Times New Roman" w:hAnsi="Times New Roman"/>
          <w:sz w:val="18"/>
          <w:szCs w:val="18"/>
          <w:color w:val="auto"/>
        </w:rPr>
      </w:pPr>
    </w:p>
    <w:p>
      <w:pPr>
        <w:jc w:val="both"/>
        <w:ind w:left="1260" w:right="419"/>
        <w:spacing w:after="0" w:line="242" w:lineRule="auto"/>
        <w:tabs>
          <w:tab w:leader="none" w:pos="15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investigation, sanction or other measures undertaken by any foreign securities regulatory agencies or relevant competent authorities in respect of the issuer, (c) change of the listing status or transfer of the listing board, and (d) the voluntary or mandatory delisting of the issuer; and (iv) where there is material change in the main business of the issuer after overseas offering and listing, which does not apply to the Overseas Listing Filing Rules therefore, such issuer shall submit to the CSRC the applicable filing materials within three business days after occurrence of such change.</w:t>
      </w:r>
    </w:p>
    <w:p>
      <w:pPr>
        <w:spacing w:after="0" w:line="11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Pursuant to the Overseas Listing Filing Rules, if a PRC-based company fails to comply with the filing procedure or otherwise violates the above mentioned requirements with respect to its overseas offering and listing, the CSRC shall order rectification, issue warnings to such PRC-based company and impose a fine of RMB1.0 million to RMB10.0 million on the company. In addition, management personnel and other persons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directly responsible for the violations will be warned and fined between RMB0.5 million and RMB5.0 million. Controlling shareholders and actual controllers responsible for these violations will be fined between RMB1.0 million and RMB10.0 million.</w:t>
      </w:r>
    </w:p>
    <w:p>
      <w:pPr>
        <w:spacing w:after="0" w:line="10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have completed the filings with the CSRC for this offering and the CSRC has concluded the filing procedure and published the filing results on the CSRC website on March 6, 2025. As of the date of this prospectus, we have not been denied for or failed to complete any permissions, approvals or filings required from Chinese authorities to offer the securities being registered to foreign investors in this offering. Therefore, we believe we have received all requisite permissions from and completed all filings with Chinese authorities before the commencement of this offering explicitly required under current PRC laws, regulations and rules. We have been closely monitoring regulatory developments in China regarding any necessary approvals from the CSRC, the CAC, or other PRC regulatory authorities required for overseas listings and securities offerings. However, we cannot predict the impact of these regulations on the listing status of the ADSs and/or other securities, or on any of our future security offerings outside of China. Any failure or perceived failure of us to fully comply with such new regulatory requirements could result in penalties from the CSRC or other PRC regulatory authorities, including fines and penalties, significantly limit or completely hinder our ability to offer or continue to offer securities to investors, cause significant disruption to our business operations, and severely damage our reputation, which could materially and adversely affect our financial condition and results of operations and could cause the value of our securities to significantly decline or be worthless.</w:t>
      </w:r>
    </w:p>
    <w:p>
      <w:pPr>
        <w:spacing w:after="0" w:line="325"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addition, our future financing activities may also need to be filed with and/or reported to the CSRC according to the Overseas Listing Filing Rules. On February 24, 2023, the CSRC, together with other governmental authorities, released the Provisions on Strengthening the Confidentiality and Archives Administration Related to the Overseas Securities Offering and Listing by Domestic Enterprises (the “</w:t>
      </w:r>
      <w:r>
        <w:rPr>
          <w:rFonts w:ascii="Times New Roman" w:cs="Times New Roman" w:eastAsia="Times New Roman" w:hAnsi="Times New Roman"/>
          <w:sz w:val="18"/>
          <w:szCs w:val="18"/>
          <w:b w:val="1"/>
          <w:bCs w:val="1"/>
          <w:color w:val="auto"/>
        </w:rPr>
        <w:t>Confidentiality and Archives Administration Provisions</w:t>
      </w:r>
      <w:r>
        <w:rPr>
          <w:rFonts w:ascii="Times New Roman" w:cs="Times New Roman" w:eastAsia="Times New Roman" w:hAnsi="Times New Roman"/>
          <w:sz w:val="18"/>
          <w:szCs w:val="18"/>
          <w:color w:val="auto"/>
        </w:rPr>
        <w:t>”), which became effective as of March 31, 2023 and aims to expand the applicable scope of the regulation to indirect overseas offerings and listings by PRC domestic companies and emphasize the confidentiality and archive management duties of PRC domestic companies during the process of overseas offerings and listings. However, we cannot assure you that we will be able to complete such filings in a timely manner and/or fully comply with such regulations in connection with our continued listing overseas and our overseas securities offerings in the future. As of the date of this prospectus, we have not received any official inquiry, notice, warning and investigation from the CSRC in connection with this offering in this regard.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Where any entity or individual fails to fulfill the confidentiality obligations under the relevant PRC laws during the overseas issuance and listing of PRC-based companies, such entity or individual may be subject to legal sanctions, such as warnings, fines, and criminal liabilities. See “Regulations — Regulations relating to M&amp;A Rules and Overseas Listings.”</w:t>
      </w:r>
    </w:p>
    <w:p>
      <w:pPr>
        <w:spacing w:after="0" w:line="330"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Furthermore, if the CSRC or other regulatory authorities later promulgate new rules or explanations requiring that we obtain their approvals or accomplish the required filing or other regulatory procedures for this offering or future financing activities, we may be unable to fulfill such requirements in a timely manner or at all. Any failure to comply with the PRC regulatory requirements in this regard, our ability to conduct business, our ability to pay dividends outside of China, completion of this offering or future financing activities may be restricted, and our business, reputation, financial condition, and results of operations may be adversely affected.</w:t>
      </w:r>
    </w:p>
    <w:p>
      <w:pPr>
        <w:spacing w:after="0" w:line="321"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It may be challenging to effect service of legal process, enforce foreign judgments or bring actions in China against us or our management named in the prospectus based on foreign laws.</w:t>
      </w:r>
    </w:p>
    <w:p>
      <w:pPr>
        <w:spacing w:after="0" w:line="9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We conduct a material portion of our operations in China, and a material portion of our assets are located in China. In addition, our senior executive officers and directors reside within China are PRC nationals. As a result, it may be challenging for our shareholders to effect service of process upon us or those persons inside China.</w:t>
      </w:r>
    </w:p>
    <w:p>
      <w:pPr>
        <w:spacing w:after="0" w:line="110"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recognition and enforcement of foreign judgments are basically provided for under the PRC Civil Procedures Law. PRC courts may recognize and enforce foreign judgments in accordance with the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requirements of the PRC Civil Procedures Law based either on treaties between China and the country or region where the judgment is made or on principles of reciprocity between jurisdictions. China does not have treaties providing for the reciprocal recognition and enforcement of judgments of courts with the United States, the Cayman Islands or many other countries and regions. Therefore, recognition and enforcement in China of judgments of a court in any of these non- PRC jurisdictions in relation to any matter not subject to a binding arbitration provision may be difficult. In addition, according to the PRC Civil Procedures Law, the PRC courts will not enforce a foreign judgment if it is decided as having violated the basic principles of PRC laws or national sovereignty, security or public interest. As a result, it is uncertain whether and on what basis a PRC court would enforce a judgment rendered by a court in the United States or the Cayman Islands.</w:t>
      </w:r>
    </w:p>
    <w:p>
      <w:pPr>
        <w:spacing w:after="0" w:line="32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SEC, U.S. Department of Justice and other U.S. authorities often have substantial difficulties in bringing and enforcing actions against non -U.S. companies and non-U.S. persons, including company directors and officers, in certain markets, including China. Legal and other obstacles to obtaining information needed for investigations or litigation or to obtaining access to funds outside the United States, lack of support from local authorities, and other various factors make it difficult for the U.S. authorities to pursue actions against non-U.S. companies and individuals, who may have engaged in fraud or other wrongdoings. Additionally, public shareholders investing in the ADSs have limited rights and few practical remedies in emerging markets where we operate, as shareholder claims that are common in the United States, including class actions under securities law and fraud claims, generally are difficult or impossible to pursue as a matter of law or practicality in many emerging markets, including China. As a result of all of the above, you may have more difficulties in protecting your interests in your emerging market investments.</w:t>
      </w:r>
    </w:p>
    <w:p>
      <w:pPr>
        <w:spacing w:after="0" w:line="111"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0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are a Cayman Islands holding company and, other than external financing, we rely principally on dividends and other distributions on equity from our PRC subsidiaries for cash requirements, including the funds necessary to pay dividends and other cash distributions to our shareholders and for services of any debt we may incur on a timely basis. Our PRC subsidiaries’ ability to distribute dividends is based upon their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is required to set aside at least 10% of their after-tax profits each year, if any, to fund a statutory reserve until such reserve reaches 50% of their registered capital. These reserves, together with the registered capital, are not distributable as cash dividends.</w:t>
      </w:r>
    </w:p>
    <w:p>
      <w:pPr>
        <w:spacing w:after="0" w:line="32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If our PRC subsidiaries incur debt on their own behalf in the future, the instruments governing the debt may restrict their ability to pay dividends or make other distributions to us, which may restrict our ability to satisfy our liquidity requirements. Investors in our securities should note that, to the extent cash in the business is in the domestic PRC or Hong Kong or a PRC onshore or Hong Kong entity, the funds may not be available to fund operations or for other use outside of the domestic PRC or Hong Kong due to limitations under applicable PRC laws and regulations on the ability of us or our subsidiaries to transfer cash outside of the PRC.</w:t>
      </w:r>
    </w:p>
    <w:p>
      <w:pPr>
        <w:spacing w:after="0" w:line="325"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payment of dividends or other distributions on equity from our PRC subsidiaries is subject to procedures put forward by the State Administration of Foreign Exchange of the PRC (“</w:t>
      </w:r>
      <w:r>
        <w:rPr>
          <w:rFonts w:ascii="Times New Roman" w:cs="Times New Roman" w:eastAsia="Times New Roman" w:hAnsi="Times New Roman"/>
          <w:sz w:val="18"/>
          <w:szCs w:val="18"/>
          <w:b w:val="1"/>
          <w:bCs w:val="1"/>
          <w:color w:val="auto"/>
        </w:rPr>
        <w:t>SAFE</w:t>
      </w:r>
      <w:r>
        <w:rPr>
          <w:rFonts w:ascii="Times New Roman" w:cs="Times New Roman" w:eastAsia="Times New Roman" w:hAnsi="Times New Roman"/>
          <w:sz w:val="18"/>
          <w:szCs w:val="18"/>
          <w:color w:val="auto"/>
        </w:rPr>
        <w:t>”) for cross-border transactions.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325"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In addition, the Enterprise Income Tax Law and its implementation rules provide that a withholding tax rate of up to 10% will be applicable to dividends payable by Chinese companies to non-PRC resident enterprises unless otherwise exempted or reduced according to treaties or arrangements between the PRC central government and governments of other countries or regions where the non-PRC resident enterprises are incorporated. For example, pursuant to the Arrangement between the People’s Republic of China and the Republic of Singapore for the Avoidance of Double Taxation on Income, or the Double Tax Avoidance</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Arrangement, and other applicable PRC laws, if a Singapore resident enterprise is determined by the competent PRC tax authority to have satisfied the relevant conditions and requirements under the Double Tax Avoidance Arrangement and other applicable laws, the 10% withholding tax on the dividends that the Singapore resident enterprise receives from a mainland PRC resident enterprise may be reduced to 5% upon receiving approval from the tax authority in charge.</w:t>
      </w:r>
    </w:p>
    <w:p>
      <w:pPr>
        <w:spacing w:after="0" w:line="106"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9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Under PRC law, legal documents for corporate transactions, including agreements and contracts are executed using the chop or seal of the signing entity or with the signature of a legal representative whose designation is registered and filed with relevant PRC industry and commerce authorities.</w:t>
      </w:r>
    </w:p>
    <w:p>
      <w:pPr>
        <w:spacing w:after="0" w:line="102"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order to secure the use of our chops and seals, we have established internal control procedures and rules for using these chops and seals. In any event that the chops and seals are intended to be used, the responsible personnel will submit the application through our office automation system and the application will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If any employee obtains, misuses or misappropriates our chops and seals or other controlling non -tangible assets for whatever reason, we could experience disruption to our normal business operations, and we may have to take corporate or legal action, which could involve significant time and resources to resolve and divert management from our operations. In addition, we may not be able to recover corporate assets that are sold or transferred out of our control in the event of a misappropriation if a transferee relies on the apparent authority of the representative and acts in good faith.</w:t>
      </w:r>
    </w:p>
    <w:p>
      <w:pPr>
        <w:spacing w:after="0" w:line="326"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currency conversion may delay us from using the proceeds of this offering to make loans or additional capital contributions to our PRC subsidiaries, which could materially and adversely affect our liquidity and our ability to fund and expand our business.</w:t>
      </w:r>
    </w:p>
    <w:p>
      <w:pPr>
        <w:spacing w:after="0" w:line="107"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Any transfer of funds by us to our PRC entities, either as a loan or as an increase in registered capital, are subject to PRC regulations. Capital contributions to our PRC subsidiaries must be (i) registered with the local State Administration for Market Regulation with the information report submitted to the Ministry of Commerce of the PRC (“</w:t>
      </w:r>
      <w:r>
        <w:rPr>
          <w:rFonts w:ascii="Times New Roman" w:cs="Times New Roman" w:eastAsia="Times New Roman" w:hAnsi="Times New Roman"/>
          <w:sz w:val="18"/>
          <w:szCs w:val="18"/>
          <w:b w:val="1"/>
          <w:bCs w:val="1"/>
          <w:color w:val="auto"/>
        </w:rPr>
        <w:t>MOFCOM</w:t>
      </w:r>
      <w:r>
        <w:rPr>
          <w:rFonts w:ascii="Times New Roman" w:cs="Times New Roman" w:eastAsia="Times New Roman" w:hAnsi="Times New Roman"/>
          <w:sz w:val="18"/>
          <w:szCs w:val="18"/>
          <w:color w:val="auto"/>
        </w:rPr>
        <w:t>”) through the enterprise registration system, and (ii) registered with the local banks authorized by SAFE. Any foreign loan procured by our PRC entities is required to be registered or filed with SAFE or its local branches and any medium or long-term loan to be provided by us to our PRC entities must be registered with the National Development and Reform Commission of the PRC (“</w:t>
      </w:r>
      <w:r>
        <w:rPr>
          <w:rFonts w:ascii="Times New Roman" w:cs="Times New Roman" w:eastAsia="Times New Roman" w:hAnsi="Times New Roman"/>
          <w:sz w:val="18"/>
          <w:szCs w:val="18"/>
          <w:b w:val="1"/>
          <w:bCs w:val="1"/>
          <w:color w:val="auto"/>
        </w:rPr>
        <w:t>NDRC</w:t>
      </w:r>
      <w:r>
        <w:rPr>
          <w:rFonts w:ascii="Times New Roman" w:cs="Times New Roman" w:eastAsia="Times New Roman" w:hAnsi="Times New Roman"/>
          <w:sz w:val="18"/>
          <w:szCs w:val="18"/>
          <w:color w:val="auto"/>
        </w:rPr>
        <w:t>”). We may not be able to obtain these government approvals or complete such registrations on a timely basis, if at all, with respect to future capital contributions or foreign loans by us to our PRC entities. If we fail to receive such approvals or complete such registration or filing, we may subject to legal sanctions, such as regulatory talk, public warning, rectification order, and our ability to use the proceeds of our financing activities and to capitalize our PRC operations may be negatively affected, which could adversely affect our liquidity and our ability to fund and expand our business. There is, in effect, no statutory limit on the amount of capital contribution that we can make to our PRC subsidiaries, provided that the PRC subsidiaries complete the relevant procedures. With respect to loans to the PRC entities by us, (i) if the relevant PRC entities adopt the traditional foreign exchange administration mechanism (the “</w:t>
      </w:r>
      <w:r>
        <w:rPr>
          <w:rFonts w:ascii="Times New Roman" w:cs="Times New Roman" w:eastAsia="Times New Roman" w:hAnsi="Times New Roman"/>
          <w:sz w:val="18"/>
          <w:szCs w:val="18"/>
          <w:b w:val="1"/>
          <w:bCs w:val="1"/>
          <w:color w:val="auto"/>
        </w:rPr>
        <w:t>Current Foreign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Mechanism</w:t>
      </w:r>
      <w:r>
        <w:rPr>
          <w:rFonts w:ascii="Times New Roman" w:cs="Times New Roman" w:eastAsia="Times New Roman" w:hAnsi="Times New Roman"/>
          <w:sz w:val="18"/>
          <w:szCs w:val="18"/>
          <w:color w:val="auto"/>
        </w:rPr>
        <w:t>”), the outstanding amount of the loans shall not exceed the difference between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and the registered capital of the PRC entities; and (ii) if the relevant PRC entities adopt the Notice No. 9 Foreign Debt Mechanism, the upper limit of the outstanding amount of the loans shall be 200% of the net asset of the relevant PRC entities, which is increased to 250% of the net asset by the Notice on Adjustments to Comprehensive Macro-prudential Regulation Parameters for Cross-border Financing issued by the PBOC and SAFE in March 2020.</w:t>
      </w:r>
    </w:p>
    <w:p>
      <w:pPr>
        <w:spacing w:after="0" w:line="333"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According to the Notice of the People’s Bank of China on Matters concerning the Macro-Prudential Management of Full-Covered Cross-Border Financing promulgated by the People’s Bank of China 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January 12, 2017 (the “</w:t>
      </w:r>
      <w:r>
        <w:rPr>
          <w:rFonts w:ascii="Times New Roman" w:cs="Times New Roman" w:eastAsia="Times New Roman" w:hAnsi="Times New Roman"/>
          <w:sz w:val="18"/>
          <w:szCs w:val="18"/>
          <w:b w:val="1"/>
          <w:bCs w:val="1"/>
          <w:color w:val="auto"/>
        </w:rPr>
        <w:t>PBOC Notice No. 9</w:t>
      </w:r>
      <w:r>
        <w:rPr>
          <w:rFonts w:ascii="Times New Roman" w:cs="Times New Roman" w:eastAsia="Times New Roman" w:hAnsi="Times New Roman"/>
          <w:sz w:val="18"/>
          <w:szCs w:val="18"/>
          <w:color w:val="auto"/>
        </w:rPr>
        <w:t>”) after a transition period of one year since the promulgation of PBOC Notice No. 9, the People’s Bank of China and SAFE will determine the cross-border financing administration mechanism for the foreign-invested enterprises after evaluating the overall implementation of PBOC Notice No. 9. As of the date of this prospectus, neither the People’s Bank of China nor SAFE has promulgated and made public any further rules, regulations, notices or circulars in this regard. It is uncertain which mechanism will be adopted by the People’s Bank of China and SAFE in the future and what statutory limits will be imposed on us when providing loans to our PRC subsidiaries as foreign-invested enterprises. Currently, our foreign-invested entities have the flexibility to choose between the Current Foreign Debt Mechanism and the Notice No. 9 Foreign Debt Mechanism. However, if a more stringent foreign debt mechanism becomes mandatory, our ability to provide loans to our PRC entities may be significantly limited, which may adversely affect our business, financial condition and results of operations.</w:t>
      </w:r>
    </w:p>
    <w:p>
      <w:pPr>
        <w:spacing w:after="0" w:line="119"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Circular on Reforming the Administration of Foreign Exchange Settlement of Capital of Foreign-Invested Enterprises (the “</w:t>
      </w:r>
      <w:r>
        <w:rPr>
          <w:rFonts w:ascii="Times New Roman" w:cs="Times New Roman" w:eastAsia="Times New Roman" w:hAnsi="Times New Roman"/>
          <w:sz w:val="18"/>
          <w:szCs w:val="18"/>
          <w:b w:val="1"/>
          <w:bCs w:val="1"/>
          <w:color w:val="auto"/>
        </w:rPr>
        <w:t>SAFE Circular 19</w:t>
      </w:r>
      <w:r>
        <w:rPr>
          <w:rFonts w:ascii="Times New Roman" w:cs="Times New Roman" w:eastAsia="Times New Roman" w:hAnsi="Times New Roman"/>
          <w:sz w:val="18"/>
          <w:szCs w:val="18"/>
          <w:color w:val="auto"/>
        </w:rPr>
        <w:t>”) effective as of June 1, 2015, as amended by Circular of the State Administration of Foreign Exchange on Reforming and Regulating Policies on the Control over Foreign Exchange Settlement under the Capital Account (the “</w:t>
      </w:r>
      <w:r>
        <w:rPr>
          <w:rFonts w:ascii="Times New Roman" w:cs="Times New Roman" w:eastAsia="Times New Roman" w:hAnsi="Times New Roman"/>
          <w:sz w:val="18"/>
          <w:szCs w:val="18"/>
          <w:b w:val="1"/>
          <w:bCs w:val="1"/>
          <w:color w:val="auto"/>
        </w:rPr>
        <w:t>SAFE Circular 16</w:t>
      </w:r>
      <w:r>
        <w:rPr>
          <w:rFonts w:ascii="Times New Roman" w:cs="Times New Roman" w:eastAsia="Times New Roman" w:hAnsi="Times New Roman"/>
          <w:sz w:val="18"/>
          <w:szCs w:val="18"/>
          <w:color w:val="auto"/>
        </w:rPr>
        <w:t xml:space="preserve">”) effective on June 9, 2016, allows foreign-invested enterprises (the “ </w:t>
      </w:r>
      <w:r>
        <w:rPr>
          <w:rFonts w:ascii="Times New Roman" w:cs="Times New Roman" w:eastAsia="Times New Roman" w:hAnsi="Times New Roman"/>
          <w:sz w:val="18"/>
          <w:szCs w:val="18"/>
          <w:b w:val="1"/>
          <w:bCs w:val="1"/>
          <w:color w:val="auto"/>
        </w:rPr>
        <w:t>FIEs</w:t>
      </w:r>
      <w:r>
        <w:rPr>
          <w:rFonts w:ascii="Times New Roman" w:cs="Times New Roman" w:eastAsia="Times New Roman" w:hAnsi="Times New Roman"/>
          <w:sz w:val="18"/>
          <w:szCs w:val="18"/>
          <w:color w:val="auto"/>
        </w:rPr>
        <w:t>”) to settle their foreign exchange capital at their discretion, but continues to prohibit FIEs from using the Renminbi fund converted from their foreign exchange capitals for expenditure beyond their business scopes, and also prohibit FIEs from using such Renminbi fund to provide loans to persons other than affiliates unless otherwise permitted under its business scope. As a result, SAFE Circular 19 and SAFE Circular 16 may significantly limit our ability to transfer any foreign currency we hold, including the net proceeds from this offering, to our PRC entities, which may adversely affect our liquidity and our ability to fund and expand our business in China. Even though the Notice on Further Promoting Cross-border Trade and Investment Facilitation, issued by the SAFE on October 23, 2019, allows all FIEs (including those without an investment business scope) to utilize and convert their foreign exchange capital for making equity investment in China if certain requirements prescribed therein are satisfied, and the Notice of the SAFE on Optimizing Foreign Exchange Administration to Support the Development of Foreign-related Business issued by the SAFE on April 10, 2020, further allows to make domestic payments by using their capital funds, foreign loans and the income under capital accounts of overseas listing without providing the evidentiary materials concerning authenticity of each expenditure in advance, provided that their capital use shall be authentic and conforms to the prevailing administrative regulations on the use of income under capital accounts, since these are relatively new, uncertainties still exist in relation to its interpretation and implementation.</w:t>
      </w:r>
    </w:p>
    <w:p>
      <w:pPr>
        <w:spacing w:after="0" w:line="321"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and adverse effect on our results of operations and the value of your investment.</w:t>
      </w:r>
    </w:p>
    <w:p>
      <w:pPr>
        <w:spacing w:after="0" w:line="90"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may fluctuate and is affected by, among other things, changes in political and economic conditions in China and by China’s foreign exchange policies. On July 21, 2005, the PRC regulatory authority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completed the regular five- year review of the basket of currencies that make up the Special Drawing Right (the “</w:t>
      </w:r>
      <w:r>
        <w:rPr>
          <w:rFonts w:ascii="Times New Roman" w:cs="Times New Roman" w:eastAsia="Times New Roman" w:hAnsi="Times New Roman"/>
          <w:sz w:val="18"/>
          <w:szCs w:val="18"/>
          <w:b w:val="1"/>
          <w:bCs w:val="1"/>
          <w:color w:val="auto"/>
        </w:rPr>
        <w:t>SDR</w:t>
      </w:r>
      <w:r>
        <w:rPr>
          <w:rFonts w:ascii="Times New Roman" w:cs="Times New Roman" w:eastAsia="Times New Roman" w:hAnsi="Times New Roman"/>
          <w:sz w:val="18"/>
          <w:szCs w:val="18"/>
          <w:color w:val="auto"/>
        </w:rPr>
        <w:t>”),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in the backdrop of a surging U.S. dollar and persistent capital outflows of China. With the development of the foreign exchange market and progress towards interest rate liberalization and Renminbi internationalization, the PRC regulatory authority may in the future announce further changes to the exchange rate system and we cannot assure you that the Renminbi will not appreciate or depreciate significantly in value against the U.S. dollar in the future. It is difficult to predict how market forces or the PRC or U.S. government policy may impact the exchange rate between the Renminbi and the U.S. dollar in the future.</w:t>
      </w:r>
    </w:p>
    <w:p>
      <w:pPr>
        <w:spacing w:after="0" w:line="326"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Significant revaluation of the Renminbi may have a material and adverse effect on your investment. For example, to the extent that we need to convert U.S. dollars we receive from our financing activities into</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 negative effect on the U.S. dollar amount available to us.</w:t>
      </w:r>
    </w:p>
    <w:p>
      <w:pPr>
        <w:spacing w:after="0" w:line="11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the PRC foreign exchange regulations that restrict our ability to convert Renminbi into foreign currency.</w:t>
      </w:r>
    </w:p>
    <w:p>
      <w:pPr>
        <w:spacing w:after="0" w:line="110"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07"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SAFE promulgated the Circular on Relevant Issues Relating to Domestic Resident’s Investment and Financing and Roundtrip Investment through Special Purpose Vehicles (the “</w:t>
      </w:r>
      <w:r>
        <w:rPr>
          <w:rFonts w:ascii="Times New Roman" w:cs="Times New Roman" w:eastAsia="Times New Roman" w:hAnsi="Times New Roman"/>
          <w:sz w:val="18"/>
          <w:szCs w:val="18"/>
          <w:b w:val="1"/>
          <w:bCs w:val="1"/>
          <w:color w:val="auto"/>
        </w:rPr>
        <w:t>SAFE Circular 37</w:t>
      </w:r>
      <w:r>
        <w:rPr>
          <w:rFonts w:ascii="Times New Roman" w:cs="Times New Roman" w:eastAsia="Times New Roman" w:hAnsi="Times New Roman"/>
          <w:sz w:val="18"/>
          <w:szCs w:val="18"/>
          <w:color w:val="auto"/>
        </w:rPr>
        <w:t>”) in July 2014. SAFE Circular 37 requires PRC residents or entities to register with SAFE or its local branches in connection with their establishment or control of an offshore entity established for the purpose of overseas investment or financing with such PRC residents or entities’ legally owned assets or equity interests in domestic enterprises or offshore assets or interests. In addition, such PRC residents or entities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 According to the Notice on Further Simplifying and Improving Foreign Exchange Administration Policy on Direct Investment released in February 2015 by SAFE, local banks will examine and handle foreign exchange registration for overseas direct investment, including the initial foreign exchange registration and amendment registration, under SAFE Circular 37 from June 2015. See “Regulation — Regulations on Foreign Exchange — Regulations on Foreign Exchange Registration of Overseas Investment by PRC Residents.”</w:t>
      </w:r>
    </w:p>
    <w:p>
      <w:pPr>
        <w:spacing w:after="0" w:line="33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If our shareholders who are PRC residents or entities do not complete their registration with the local SAFE branches, our PRC subsidiaries may be prohibited from distributing their profits and proceeds from any reduction in capital, share transfer or liquidation to us, and we may be restricted in our ability to contribute additional capital to our PRC subsidiaries. Moreover, failure to comply with SAFE registration requirements described above could result in liability under PRC laws for evasion of applicable foreign exchange restrictions.</w:t>
      </w:r>
    </w:p>
    <w:p>
      <w:pPr>
        <w:spacing w:after="0" w:line="325"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have notified all PRC residents or entities who directly or indirectly hold shares in our Cayman Islands holding company and who are known to us as being PRC residents to complete the foreign exchange registrations. However, we may not be informed of the identities of all the PRC residents or entities holding direct or indirect interest in our company, nor can we compel our beneficial owners to comply with SAFE registration requirements or continuously comply with all requirements under SAFE Circular 37 or other related rules. As a result, we cannot assure you that all of our shareholders or beneficial owners who are PRC residents or entities have complied with, and will in the future make, obtain or update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1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 addition, pursuant to the Measures for the Administration of Outbound Investment which was promulgated by the MOFCOM in September 2014 and became effective in October 2014, and the Administrative Measures of Outbound Investment of Enterprises which was promulgated by the NDRC in December 2017 and became effective in March 2018, both of which replaced previous rules regarding outbound direct investment by PRC entities, any outbound investment of PRC enterprises is required to be approved by or filed with the MOFCOM, NDRC or their local branches.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Furthermore, the interpretation and implementation of these foreign exchange regulations have been constantly evolving, it is unclear how these regulations, and any future regulation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 currency 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14" w:lineRule="exact"/>
        <w:rPr>
          <w:sz w:val="20"/>
          <w:szCs w:val="20"/>
          <w:color w:val="auto"/>
        </w:rPr>
      </w:pPr>
    </w:p>
    <w:p>
      <w:pPr>
        <w:jc w:val="both"/>
        <w:ind w:left="1260" w:right="4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55"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Pursuant to SAFE Circular 37, PRC residents who participate in share incentive plans in overseas non-publicly-listed companies may submit applications to SAFE or its local branches for the foreign exchange registration with respect to offshore special purpose companies before they obtain the incentive shares or exercise the share options. In the meantime, our directors, executive officers and other employees who are PRC citizens or who are non-PRC residents residing in the PRC for a continuous period of not less than one year, subject to limited exceptions, and who have been granted share-based awards by us, may follow the Circular on Issues Related to the Foreign Exchange Administration for Domestic Individuals Participating in Stock Incentive Plan of Overseas Listed Company (the “</w:t>
      </w:r>
      <w:r>
        <w:rPr>
          <w:rFonts w:ascii="Times New Roman" w:cs="Times New Roman" w:eastAsia="Times New Roman" w:hAnsi="Times New Roman"/>
          <w:sz w:val="18"/>
          <w:szCs w:val="18"/>
          <w:b w:val="1"/>
          <w:bCs w:val="1"/>
          <w:color w:val="auto"/>
        </w:rPr>
        <w:t>Circular 7</w:t>
      </w:r>
      <w:r>
        <w:rPr>
          <w:rFonts w:ascii="Times New Roman" w:cs="Times New Roman" w:eastAsia="Times New Roman" w:hAnsi="Times New Roman"/>
          <w:sz w:val="18"/>
          <w:szCs w:val="18"/>
          <w:color w:val="auto"/>
        </w:rPr>
        <w:t>”). Pursuant to the Circular 7,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w:t>
      </w:r>
    </w:p>
    <w:p>
      <w:pPr>
        <w:spacing w:after="0" w:line="32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our directors, our executive officers and other employees who are PRC citizens or who reside in the PRC for a continuous period of not less than one year and who have been granted share-based awards are and will be subject to these regulations. Failure to complete SAFE registration requirements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“Regulation — Regulations Relating to Stock Incentive Plans.”</w:t>
      </w:r>
    </w:p>
    <w:p>
      <w:pPr>
        <w:spacing w:after="0" w:line="32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State Taxation Administration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regulatory authorities. See “Regulation — Regulations Relating to Stock Incentive Plans.”</w:t>
      </w:r>
    </w:p>
    <w:p>
      <w:pPr>
        <w:spacing w:after="0" w:line="115"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classified as a “PRC resident enterprise” for PRC enterprise income tax purposes, which could result in unfavorable tax consequences to us and our non-PRC shareholders and ordinary shareholders and have a material adverse effect on our results of operations and the value of your investment.</w:t>
      </w:r>
    </w:p>
    <w:p>
      <w:pPr>
        <w:spacing w:after="0" w:line="101"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Under the Enterprise Income Tax Law of the PRC and its implementation rules, an enterprise established outside of the PRC with its “de facto management body” within the PRC is considered a “resident enterprise” and will be subject to PRC enterprise income tax on its global income at the rate of 25%. The implementation rules define the term “de facto management body” as the body that exercises full and substantial control over and overall management of the business, production, personnel, accounts and properties of an enterprise. In April 2009, the State Taxation Administration issued a circular, known as STA Circular 82, which provides certain specific criteria for determining whether the “de facto management body” of a PRC-controlled enterprise that is incorporated offshore is located in China. Although this circular only applies to offshore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enterprises controlled by PRC enterprises or PRC enterprise groups, not those controlled by PRC individuals or foreigners like us, the criteria set forth in the circular may reflect the State Taxation Administration’s general position on how the “de facto management body” test should be applied in determining the tax resident status of all offshore enterprises. According to STA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327"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believe that neither our company nor any of our subsidiaries established outside of China is a PRC resident enterprise for PRC tax purposes. However, the tax resident status of an enterprise is subject to determination by the PRC tax authorities and there are still unresolved aspects regarding the understanding of the term “de facto management body.” As a majority of our management members are based in China, it remains unclear how the tax residency rule will apply to our case. If the PRC tax authorities determine that our company (or any of our subsidiaries outside of China) is a PRC resident enterprise for enterprise income tax purposes, we (or such subsidiaries) may be subject to PRC enterprise income on our worldwide income at the rate of 25%, which could materially reduce our net income. In such case we would also be subject to PRC enterprise income tax reporting obligations.</w:t>
      </w:r>
    </w:p>
    <w:p>
      <w:pPr>
        <w:spacing w:after="0" w:line="118"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If we are classified as a PRC resident enterprise, we would be required to withhold a 10% withholding tax from dividends we pay to our shareholders that are non- resident enterprises, including the holders of the ADSs if such income is treated as sourced from within the PRC. In addition, non-resident enterprise shareholders (including ADS holders) may be subject to PRC tax at a rate of 10% on gains realized on the sale or other disposition of ADSs or ordinary shares, if such income is treated as sourced from within the PRC. Furthermore, if we are deemed a PRC resident enterprise, dividends paid to our non-PRC individual shareholders (including ADS holders) and any gain realized on the transfer of ADSs or ordinary shares by such shareholders may be subject to PRC tax at a rate of 20% (which, in the case of dividends, may be withheld at source by us), if such gains are deemed to be from PRC sources. These rates may be reduced by an applicable tax treaty, but it is unclear whether in practice non-PRC shareholders of our company would be able to obtain the benefits of any tax treaties between their country of tax residence and the PRC in the event that we are treated as a PRC resident enterprise. Any such tax will reduce the returns on your investment in the ADSs or ordinary shares.</w:t>
      </w:r>
    </w:p>
    <w:p>
      <w:pPr>
        <w:spacing w:after="0" w:line="323"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w:t>
      </w:r>
    </w:p>
    <w:p>
      <w:pPr>
        <w:spacing w:after="0" w:line="7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On February 3, 2015, the State Taxation Administration issued the Circular on Issues of Enterprise Income Tax on Indirect Transfers of Assets by Non-PRC Resident Enterprises (the “</w:t>
      </w:r>
      <w:r>
        <w:rPr>
          <w:rFonts w:ascii="Times New Roman" w:cs="Times New Roman" w:eastAsia="Times New Roman" w:hAnsi="Times New Roman"/>
          <w:sz w:val="18"/>
          <w:szCs w:val="18"/>
          <w:b w:val="1"/>
          <w:bCs w:val="1"/>
          <w:color w:val="auto"/>
        </w:rPr>
        <w:t>STA Circular 7</w:t>
      </w:r>
      <w:r>
        <w:rPr>
          <w:rFonts w:ascii="Times New Roman" w:cs="Times New Roman" w:eastAsia="Times New Roman" w:hAnsi="Times New Roman"/>
          <w:sz w:val="18"/>
          <w:szCs w:val="18"/>
          <w:color w:val="auto"/>
        </w:rPr>
        <w:t>”). STA Circular 7 extends its tax jurisdiction to transactions involving the transfer of taxable assets by way of the offshore transfer of a foreign intermediate holding company. In addition, STA Circular 7 provides certain criteria on assessing reasonable commercial purposes and contains safe harbors for internal group restructurings and the purchase and sale of equity through a public securities market. The State Taxation Administration of the PRC (“</w:t>
      </w:r>
      <w:r>
        <w:rPr>
          <w:rFonts w:ascii="Times New Roman" w:cs="Times New Roman" w:eastAsia="Times New Roman" w:hAnsi="Times New Roman"/>
          <w:sz w:val="18"/>
          <w:szCs w:val="18"/>
          <w:b w:val="1"/>
          <w:bCs w:val="1"/>
          <w:color w:val="auto"/>
        </w:rPr>
        <w:t>SAT</w:t>
      </w:r>
      <w:r>
        <w:rPr>
          <w:rFonts w:ascii="Times New Roman" w:cs="Times New Roman" w:eastAsia="Times New Roman" w:hAnsi="Times New Roman"/>
          <w:sz w:val="18"/>
          <w:szCs w:val="18"/>
          <w:color w:val="auto"/>
        </w:rPr>
        <w:t>”) Circular 7 also brings challenges to both the foreign transferor and the transferee (or other person who is obligated to pay for the transfer) of taxable assets.</w:t>
      </w:r>
    </w:p>
    <w:p>
      <w:pPr>
        <w:spacing w:after="0" w:line="119"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On October 17, 2017, the State Taxation Administration issued the Circular on Issues of Withholding of Income Tax of Non-resident Enterprises at Source (the “</w:t>
      </w:r>
      <w:r>
        <w:rPr>
          <w:rFonts w:ascii="Times New Roman" w:cs="Times New Roman" w:eastAsia="Times New Roman" w:hAnsi="Times New Roman"/>
          <w:sz w:val="18"/>
          <w:szCs w:val="18"/>
          <w:b w:val="1"/>
          <w:bCs w:val="1"/>
          <w:color w:val="auto"/>
        </w:rPr>
        <w:t>STA Circular 37</w:t>
      </w:r>
      <w:r>
        <w:rPr>
          <w:rFonts w:ascii="Times New Roman" w:cs="Times New Roman" w:eastAsia="Times New Roman" w:hAnsi="Times New Roman"/>
          <w:sz w:val="18"/>
          <w:szCs w:val="18"/>
          <w:color w:val="auto"/>
        </w:rPr>
        <w:t>”), which came into effect on December 1, 2017 and was most recently amended on June 15, 2018. STA Circular 37 further clarifies the practice and procedure of the withholding of non- resident enterprise income tax.</w:t>
      </w:r>
    </w:p>
    <w:p>
      <w:pPr>
        <w:spacing w:after="0" w:line="110"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Where a non-resident enterprise transfers taxable assets indirectly by disposing of the equity interests of an overseas holding company, which is known as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336"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future transactions where PRC taxable assets are involved, such as offshore restructuring, sales of the shares in our offshore subsidiaries and investments. Our company may be subject to filing obligations or tax liabilities if our company is the transferor in such transactions, and may be subject to withholding obligations if our company is the transferee in such transactions, under STA Circular 7 or STA Circular 37. For transfer of shares in our company by investors who are non-PRC resident enterprises, our PRC subsidiaries may be requested to assist in the filings required under STA Circular 7 or STA Circular 37. As a result, we may be required to expend valuable resources to comply with STA Circular 7 or STA Circular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339" w:lineRule="exact"/>
        <w:rPr>
          <w:sz w:val="20"/>
          <w:szCs w:val="20"/>
          <w:color w:val="auto"/>
        </w:rPr>
      </w:pPr>
    </w:p>
    <w:p>
      <w:pPr>
        <w:jc w:val="both"/>
        <w:ind w:left="1260" w:right="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Trading in our securities may be prohibited under the Holding Foreign Companies Accountable Act if the PCAOB determines that it is unable to inspect or investigate completely our auditor, and as a result, U.S. national securities exchanges, such as Nasdaq, may determine to delist our securities. The delisting of the ADSs, or the threat of their being delisted, may materially and adversely affect the value of your investment.</w:t>
      </w:r>
    </w:p>
    <w:p>
      <w:pPr>
        <w:spacing w:after="0" w:line="99"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independent registered public accounting firm that issues the audit report included in this prospectus, as an auditor of companies that are traded publicly in the United States and a firm registered with the PCAOB, is required by the laws of the United States to undergo regular inspections by the PCAOB to assess its compliance with the laws of the United States and professional standards. Our auditor is located in China, a jurisdiction where the PCAOB was historically unable to conduct inspections and investigations completely before 2022.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As a result, investors were deprived of the benefits of such PCAOB inspections.</w:t>
      </w:r>
    </w:p>
    <w:p>
      <w:pPr>
        <w:spacing w:after="0" w:line="337"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recent years, U.S. regulatory authorities have continued to express their concerns about challenges in their oversight of financial statement audits of U.S.-listed companies with significant operations in China. More recently, as part of a continued regulatory focus in the United States on access to audit and other information currently protected by national law, in particular China’s, the United States enacted the Holding Foreign Companies Accountable Act in December 2020, as amended by the Consolidated Appropriations Act, 2023 (the “</w:t>
      </w:r>
      <w:r>
        <w:rPr>
          <w:rFonts w:ascii="Times New Roman" w:cs="Times New Roman" w:eastAsia="Times New Roman" w:hAnsi="Times New Roman"/>
          <w:sz w:val="18"/>
          <w:szCs w:val="18"/>
          <w:b w:val="1"/>
          <w:bCs w:val="1"/>
          <w:color w:val="auto"/>
        </w:rPr>
        <w:t>HFCAA</w:t>
      </w:r>
      <w:r>
        <w:rPr>
          <w:rFonts w:ascii="Times New Roman" w:cs="Times New Roman" w:eastAsia="Times New Roman" w:hAnsi="Times New Roman"/>
          <w:sz w:val="18"/>
          <w:szCs w:val="18"/>
          <w:color w:val="auto"/>
        </w:rPr>
        <w:t>”). Trading in our securities on U.S. markets, including Nasdaq, may be prohibited under the HFCAA if the PCAOB determines that it is unable to inspect or investigate completely our auditor for two consecutive years because of a position taken by authorities in a foreign jurisdiction. On December 16, 2021, the PCAOB issued the 2021 Determinations, stating that it was unable to inspect or investigate completely registered public accounting firms headquartered in mainland China and Hong Kong, including our auditor, which is headquartered in mainland China. The PCAOB subsequently vacated its previous 2021 Determinations. As a result, we do not expect to be identified as a “Commission-Identified Issuer” under the HFCAA for the fiscal year ending December 31, 2024.</w:t>
      </w:r>
    </w:p>
    <w:p>
      <w:pPr>
        <w:spacing w:after="0" w:line="120"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However, whether the PCAOB will continue to conduct inspections and investigations completely to its satisfaction of PCAOB-registered public accounting firms headquartered in mainland China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and states that it has already made plans to resume regular inspections in the future. The PCAOB is required under the HFCAA to make its determination on an annual basis with regards to its ability to inspect and investigate completely accounting firms based in the mainland China and Hong Kong. The possibility of being a “Commission-Identified Issuer” and risk of delisting could continue to adversely affect the trading price of our securities.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If the PCAOB determines in the future 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If we were so identified for two consecutive years, trading in our securities on U.S. markets would be prohibited and Nasdaq or any other U.S. exchange on which our securities are listed may determine to delist our securities. A delisting of the ADSs would materially and adversely affect the value of the securities and may impact your ability to sell your ADSs.</w:t>
      </w:r>
    </w:p>
    <w:p>
      <w:pPr>
        <w:spacing w:after="0" w:line="3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investigations or collect evidence within China.</w:t>
      </w:r>
    </w:p>
    <w:p>
      <w:pPr>
        <w:spacing w:after="0" w:line="14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Shareholder claims or regulatory investigations generally are challenging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 border supervision and administration, such cooperation with the securities regulatory authorities in the Unities States may not be efficient in the absence of mutual and practical cooperation mechanism. Furthermore, according to Article 177 of the PRC Securities Law (the “ </w:t>
      </w:r>
      <w:r>
        <w:rPr>
          <w:rFonts w:ascii="Times New Roman" w:cs="Times New Roman" w:eastAsia="Times New Roman" w:hAnsi="Times New Roman"/>
          <w:sz w:val="18"/>
          <w:szCs w:val="18"/>
          <w:b w:val="1"/>
          <w:bCs w:val="1"/>
          <w:color w:val="auto"/>
        </w:rPr>
        <w:t>Article 177</w:t>
      </w:r>
      <w:r>
        <w:rPr>
          <w:rFonts w:ascii="Times New Roman" w:cs="Times New Roman" w:eastAsia="Times New Roman" w:hAnsi="Times New Roman"/>
          <w:sz w:val="18"/>
          <w:szCs w:val="18"/>
          <w:color w:val="auto"/>
        </w:rPr>
        <w:t>”),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w:t>
      </w:r>
    </w:p>
    <w:p>
      <w:pPr>
        <w:spacing w:after="0" w:line="114"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Ongoing geopolitical tensions around the world may have a material adverse effect on our business, financial condition, and results of operations.</w:t>
      </w:r>
    </w:p>
    <w:p>
      <w:pPr>
        <w:spacing w:after="0" w:line="90"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As a global business, we face risks associated with heightened tensions in geopolitical and economic relations. Rivalries and sanctions between major powers, including the United States and China, and unrest, terrorist threats, wars and other conflicts involving Ukraine, the Middle East and elsewhere have created increased global uncertainty. Such geopolitical tensions, along with trade disputes and regional conflicts, may result in economic instability, market volatility, and regulatory changes, which could impact our supply chain, operations, and consumer demand. Recently, the United States has proposed to impose multiple rounds of tariffs on a wide range of goods imported from multiple countries, including China, and China has responded with retaliatory tariffs. Since February 2025, the U.S. administration has proposed to increase the total tariff level for imported Chinese goods to 125% and additional tariff increase could be imposed as the trade tension between the two countries continues to heighten. On April 9, 2025, China has responded by hiking its levies on U.S. imports to 84% from 34%. Historically, tariffs have led to increased trade and political tensions, between the U.S. and China, as well as between the U.S. and other countries. Political tensions as a result of trade policies could reduce trade volume, cross-border investment, technological exchange, and other economic activities between major economies, resulting in a material adverse effect on global economic conditions and the stability of global financial and stock markets. Moreover, the heightened geopolitical uncertainty and potential for further escalation may discourage investments in securities issued by China-based issuers (including us) and affect the global macroeconomic environment. For example, it has been reported that the U.S. administration may consider imposing further restrictions or prohibitions on trading of Chinese securities. Although cross-border trade is not our principal business, any such geopolitical developments could materially and adversely affect our overall financial performance and prices of our ADSs.</w:t>
      </w:r>
    </w:p>
    <w:p>
      <w:pPr>
        <w:spacing w:after="0" w:line="339"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Furthermore, such tensions may lead to consumer boycotts, increased security measures, and travel restrictions, all of which could negatively affect our ability to conduct business, maintain supply chain operations, and expand into new markets. Any restrictions on international trade and capital flows may have a negative impact on our ability to access capital, procure raw materials, and expand our operations. As a result, any of these events could have a material adverse effect on our business, financial condition, and results of operations.</w:t>
      </w:r>
    </w:p>
    <w:p>
      <w:pPr>
        <w:spacing w:after="0" w:line="114"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Separately, we may also be subject to review and enforcement under domestic and foreign laws that screen foreign investment and acquisitions. In both the U.S. and non-U.S. jurisdictions, these regulatory requirements may treat companies differently based on the type of company in question and investor profile in the company. As a result of these laws, investments by particular investors may need to be filed with local regulators, which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in turn may impose added costs on our business, impact our operations, and/or limit our ability to engage in strategic transactions that might otherwise be beneficial to us and our investors. These laws are also regularly changed and updated. For example, recently the Office of Investment Security of the U.S. Department of the Treasury issued a final rule (the “Outbound Investment Rule”) to implement the Executive Order 14105, which provided for the establishment of a new national security regulatory framework to control outbound investment from the United States in certain sensitive industry sectors in the People’s Republic of China, including Hong Kong and Macau. The Outbound Investment Rule took effect in January 2025 and restricts U.S. persons’ direct and indirect investment into companies with specified connections to China that engage in specified “Covered Activities” within three areas of technology: semiconductors and microelectronics, quantum information technologies, and artificial intelligence systems. Notably, President Trump issued the America First Trade Policy Memorandum on February 20, 2025, which proposes to further expand the set of technologies of concern. These rules may limit our ability to engage in certain kinds of business operations; they may also limit our ability to raise capital from U.S. and other sources if we engage in the development of such technologies of concern. Continuing changes in both U.S. and non-U.S. jurisdictions to foreign investment laws and rules could adversely affect our strategic initiatives, financial performance, and growth prospects.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Relating to the ADSs and This Offering</w:t>
      </w:r>
    </w:p>
    <w:p>
      <w:pPr>
        <w:spacing w:after="0" w:line="144" w:lineRule="exact"/>
        <w:rPr>
          <w:sz w:val="20"/>
          <w:szCs w:val="20"/>
          <w:color w:val="auto"/>
        </w:rPr>
      </w:pPr>
    </w:p>
    <w:p>
      <w:pPr>
        <w:jc w:val="both"/>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ordinary shares or the ADSs may not develop and the trading price for the ADSs may fluctuate significantly.</w:t>
      </w:r>
    </w:p>
    <w:p>
      <w:pPr>
        <w:spacing w:after="0" w:line="7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have submitted an application to list the ADSs on Nasdaq. Prior to completion of this offering, there has been no public market for the ADSs or our ordinary shares, and we cannot assure you that a liquid public market for the ADSs will develop. If an active public market for the ADSs does not develop following the completion of this offering, the market price and liquidity of the ADSs may be materially and adversely affected. The initial public offering price for the ADSs will be determined by negotiation between us and the underwriters based upon several factors, and we can provide no assurance that the trading price of the ADSs after this offering will not decline below the initial public offering price. As a result, investors in our securities may experience a significant decrease in the value of the ADSs.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ADSs is likely to be volatile, which could result in substantial losses to investors.</w:t>
      </w:r>
    </w:p>
    <w:p>
      <w:pPr>
        <w:spacing w:after="0" w:line="14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trading price of the ADSs is likely to be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the following:</w:t>
      </w:r>
    </w:p>
    <w:p>
      <w:pPr>
        <w:spacing w:after="0" w:line="285" w:lineRule="exact"/>
        <w:rPr>
          <w:sz w:val="20"/>
          <w:szCs w:val="20"/>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net revenues, earnings and cash flows;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and expansions by us or our competitors;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our products and services or our industry;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regulations, rules or policies relevant for our business;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15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the ADSs will trade.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20"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ADSs in the public market could cause the price of ADSs to decline.</w:t>
      </w:r>
    </w:p>
    <w:p>
      <w:pPr>
        <w:spacing w:after="0" w:line="91"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Sales of substantial amounts of ADSs in the public market after completion of this offering, or the perception that these sales could occur, could adversely affect the market price of ADSs. The ADSs sold in this offering will be freely tradable without restriction or further registration under the Securities Act. In connection with this offering, we, our directors, executive officers, all of our existing shareholders have agreed not to sell any ordinary shares or ADSs for 180 days after the date of this prospectus without the prior written consent of the representatives of several underwriters, subject to certain exceptions. However, at the request of the parties subject to the lock-up restriction, the representatives may exercise its discretion to release the lock-up restriction prior to the expiration of the lock-up period. The related facility agreements have margin call provisions regarding our shares. If any lender enforces its security interests in such pledged shares upon an event of default or any borrower needs to use the pledged shares to repay the loan at maturity, such lender may not sell or otherwise dispose of any of the pledged shares unless the transferee becomes bound to the terms of the lock-up agreement. However, even though the transferee is subject to lock-up restrictions, there may be a perception that the transferee will sell the shares after the lock-up period. Any sale or perceived sale of the shares into the market may cause the price of ADSs to decline. See “Underwriting” and “Shares Eligible for Future Sale” for a more detailed description of the restrictions on selling our securities after this offering.</w:t>
      </w:r>
    </w:p>
    <w:p>
      <w:pPr>
        <w:spacing w:after="0" w:line="327" w:lineRule="exact"/>
        <w:rPr>
          <w:sz w:val="20"/>
          <w:szCs w:val="20"/>
          <w:color w:val="auto"/>
        </w:rPr>
      </w:pPr>
    </w:p>
    <w:p>
      <w:pPr>
        <w:jc w:val="both"/>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after this offering, you must rely on a price appreciation of the ADSs for a return on your investment.</w:t>
      </w:r>
    </w:p>
    <w:p>
      <w:pPr>
        <w:spacing w:after="0" w:line="91"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the ADSs as a source for any future dividend income.</w:t>
      </w:r>
    </w:p>
    <w:p>
      <w:pPr>
        <w:spacing w:after="0" w:line="108"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initial public offering price is substantially higher than the pro forma net tangible book value per share, you will experience immediate and substantial dilution.</w:t>
      </w:r>
    </w:p>
    <w:p>
      <w:pPr>
        <w:spacing w:after="0" w:line="7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you purchase the ADSs in this offering, you will pay more for each ADS than the corresponding amount paid by existing shareholders for their ordinary shares. As a result, you will experience immediate and substantial dilution of approximately US$22.29 per ADS, assuming that no outstanding options to acquire ordinary shares are exercised. This number represents the difference between the initial public offering price of US$28.0 per ADS, and our pro forma net tangible book value US$4.71 per ADS as of December 31, 2024, after giving effect to this offering. You may experience further dilution to the extent that our ordinary shares are issued upon exercise of any share options. See “Dilution” for a more complete description of how the value of your investment in ADSs will be diluted upon completion of this offering.</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the ADSs.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1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114"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market price for the ADSs and trading volume could decline.</w:t>
      </w:r>
    </w:p>
    <w:p>
      <w:pPr>
        <w:spacing w:after="0" w:line="90"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trading market for the ADSs will depend in part on the research and reports that securities or industry analysts publish about us or our business. If research analysts do not establish and maintain adequate research coverage or if one or more of the analysts who covers us downgrades the ADSs or publishes inaccurate or unfavorable research about our business, the market price for the ADSs would likely decline. If one or more of these analysts cease coverage of our company or fail to publish reports on us regularly, we could lose visibility in the financial markets, which, in turn, could cause the market price or trading volume for the ADSs to decline.</w:t>
      </w:r>
    </w:p>
    <w:p>
      <w:pPr>
        <w:spacing w:after="0" w:line="321" w:lineRule="exact"/>
        <w:rPr>
          <w:sz w:val="20"/>
          <w:szCs w:val="20"/>
          <w:color w:val="auto"/>
        </w:rPr>
      </w:pPr>
    </w:p>
    <w:p>
      <w:pPr>
        <w:jc w:val="both"/>
        <w:ind w:left="1260" w:right="3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increased costs and become subject to additional rules and regulations as a result of being a public company.</w:t>
      </w:r>
    </w:p>
    <w:p>
      <w:pPr>
        <w:spacing w:after="0" w:line="90"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We are a public company and expect to incur significant legal, accounting and other expenses that we did not incur as a private company. The Sarbanes-Oxley Act of 2002, as well as rules subsequently implemented by the SEC and Nasdaq, impose various requirements on the corporate governance practices of public companies.</w:t>
      </w:r>
    </w:p>
    <w:p>
      <w:pPr>
        <w:spacing w:after="0" w:line="323"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expect these rules and regulations to increase our legal and financial compliance costs and to make some corporate activities more time-consuming and costly. We expect to incur significant expenses and devote substantial management effort toward ensuring compliance with the requirements of Section 404 of the Sarbanes-Oxley Act of 2002 and the other rules and regulations of the SEC. For example, 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number of additional costs we may incur or the timing of such costs.</w:t>
      </w:r>
    </w:p>
    <w:p>
      <w:pPr>
        <w:spacing w:after="0" w:line="12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the past, shareholders of a public company often brought securities class action suits against the company following periods of instability in the market price of that company’s securities. If we were involved in a class-action suit, it could divert a significant amount of our management’s attention and other resources from our business and operations, which could harm our results of operations and require us to incur significant expenses to defend the suit. Any such class-action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they may not be able to exercise their right to direct the voting of the underlying ordinary shares represented by your ADSs.</w:t>
      </w:r>
    </w:p>
    <w:p>
      <w:pPr>
        <w:spacing w:after="0" w:line="78"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Holders of the ADSs do not have the same rights as our registered shareholders. As a holder of ADSs, you will not have any direct right to attend general meetings of our shareholders or to cast any votes at such meetings. You will only be able to exercise the voting rights that are carried by the underlying ordinary shares represented by your ADSs indirectly by giving voting instructions to the depositary in accordance with the provisions of the deposit agreement. Under the deposit agreement, you may vote only by giving voting instructions to the depositary. If we instruct the depositary to ask for your instructions, then upon receipt of your voting instructions, the depositary will try, as far as practicable, to vote the underlying ordinary shares represented by your ADSs in accordance with your instructions. If we do not instruct the depositary to ask for your instructions, the depositary may still vote in accordance with the instructions you give, but it is not required to do so. You will not be able to directly exercise your right to vote with respect to the underlying ordinary shares represented by your ADSs unless you withdraw the shares and become the registered holder of such shares prior to the record date for the general meeting. Under our post-offering amended and restated memorandum and articles of association that will become effective immediately prior to the completion of this offering, the minimum notice period required to be given by our company to our registered shareholders for convening a general meeting is seven business days.</w:t>
      </w:r>
    </w:p>
    <w:p>
      <w:pPr>
        <w:spacing w:after="0" w:line="330"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When a general meeting is convened, you may not receive sufficient advance notice of the meeting to surrender your ADSs for the purpose of withdrawal of the ordinary shares underlying your ADSs and become the registered holder of such shares to allow you to vote directly with respect to any specific matter or resolution to be considered and voted upon at the general meeting. In addition, under our post-offering amended and restated memorandum and articles of association that will become effective immediately prior to completion of this offering, for the purposes of determining those shareholders who are entitled to attend and vote at any general meeting, our directors may close our register of members and fix in advance a record date for such meeting. Such closure of our register of members or the setting of such a record date may prevent you from surrendering your ADSs for the purpose of withdrawing the ordinary shares underlying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at least 40 days prior notice of shareholder meetings. Nevertheless, we cannot assure you that you will receive the voting materials in time to ensure that you can instruct the depositary to vote the underlying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ordinary shares underlying your ADSs are voted and you may have no legal remedy if the ordinary shares underlying your ADSs are not voted as you requested.</w:t>
      </w:r>
    </w:p>
    <w:p>
      <w:pPr>
        <w:spacing w:after="0" w:line="332"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dividends or other distributions on our ordinary shares and the ADS holders may not receive any value for them, if it is illegal or impractical to make them available to the ADS holders.</w:t>
      </w:r>
    </w:p>
    <w:p>
      <w:pPr>
        <w:spacing w:after="0" w:line="91"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depositary of the ADSs has agreed to pay the ADS holders the cash dividends or other distributions it or the custodian receives on ordinary shares or other deposited securities underlying the ADSs, after deducting its fees and expenses. You will receive these distributions in proportion to the number of ordinary shares the underlying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the ADSs.</w:t>
      </w: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the inability to participate in rights offerings.</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324"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You must rely on the judgment of our management as to the use of the net proceeds from this offering, and such use may not produce income or increase our ADS price.</w:t>
      </w:r>
    </w:p>
    <w:p>
      <w:pPr>
        <w:spacing w:after="0" w:line="9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management will have considerable discretion in the application of the net proceeds received by us. You will not have the opportunity, as part of your investment decision, to assess whether proceeds are being used appropriately. The net proceeds may be used for corporate purposes that do not improve our efforts to achieve or maintain profitability or increase our ADS price. The net proceeds from this offering may be placed in investments that do not produce income or that lose value.</w:t>
      </w:r>
    </w:p>
    <w:p>
      <w:pPr>
        <w:spacing w:after="0" w:line="1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the transfer of your ADSs.</w:t>
      </w:r>
    </w:p>
    <w:p>
      <w:pPr>
        <w:spacing w:after="0" w:line="14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ADSs are transferable on the books of the depositary. However, the depositary may close its books at any time or from time to time when it deems expedient in connection with the performance of its duties and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321"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shareholders may face difficulties in protecting their interests, and the ability to protect their rights through U.S. courts may be limited because we are incorporated under Cayman Islands law and our operations are based in emerging markets.</w:t>
      </w:r>
    </w:p>
    <w:p>
      <w:pPr>
        <w:spacing w:after="0" w:line="101"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memorandum and articles of association, the Companies Act (as amended)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and Wales,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the standing to initiate a shareholder derivative action in a state or federal court in the State of New York. Moreover, while under Delaware law, controlling shareholders owe fiduciary duties to the companies they control and their minority shareholders, under Cayman Islands law, our controlling shareholders do not owe any such fiduciary duties to our company or to our minority shareholders. Accordingly, our controlling shareholders may exercise their powers as shareholders, including the exercise of voting rights in respect of their shares, in such manner as they think fit.</w:t>
      </w:r>
    </w:p>
    <w:p>
      <w:pPr>
        <w:spacing w:after="0" w:line="336"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the memorandum and articles of association, the register of mortgages and charges and any special resolutions passed by shareholders) or to obtain copies of lists of shareholders of these companies. Our directors have discretion under our articles of association to determine whether or not, and under what conditions, our corporate records may be inspected by our shareholders, but</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0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the United States. If we choose to follow the home country practice, our shareholders may be afforded less protection than they otherwise would under rules and regulations applicable to U.S. domestic issuers. See “— 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19"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Additionally, as a company incorporated under Cayman Islands law with operations are based in emerging markets, there may be challenges in enforcing US judgments or court orders. These challenges may include differences in legal systems and limited legal enforcement mechanisms, and local regulations that make it difficult to collect on judgments.</w:t>
      </w:r>
    </w:p>
    <w:p>
      <w:pPr>
        <w:spacing w:after="0" w:line="110"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“Description of Share Capital — Differences in Corporate Law.”</w:t>
      </w:r>
    </w:p>
    <w:p>
      <w:pPr>
        <w:spacing w:after="0" w:line="108" w:lineRule="exact"/>
        <w:rPr>
          <w:sz w:val="20"/>
          <w:szCs w:val="20"/>
          <w:color w:val="auto"/>
        </w:rPr>
      </w:pPr>
    </w:p>
    <w:p>
      <w:pPr>
        <w:jc w:val="both"/>
        <w:ind w:left="1260" w:right="3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post-offering memorandum and articles of association that will become effective immediately prior to completion of this offering contain anti-takeover provisions that could have a material adverse effect on the rights of holders of our ordinary shares and the ADSs.</w:t>
      </w:r>
    </w:p>
    <w:p>
      <w:pPr>
        <w:spacing w:after="0" w:line="10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have adopted the fourth amended and restated memorandum and articles of association that will become effective immediately prior to completion of this offering. Our post-offering memorandum and articles of association will contain provisions which could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subject to any resolution of the shareholders to the contrary,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spacing w:after="0" w:line="328"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9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61" w:lineRule="exact"/>
        <w:rPr>
          <w:sz w:val="20"/>
          <w:szCs w:val="20"/>
          <w:color w:val="auto"/>
        </w:rPr>
      </w:pPr>
    </w:p>
    <w:p>
      <w:pPr>
        <w:ind w:left="1800" w:right="41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the selective disclosure rules by issuers of material nonpublic information under Regulation FD.</w:t>
      </w:r>
    </w:p>
    <w:p>
      <w:pPr>
        <w:spacing w:after="0" w:line="15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as press releases, distributed pursuant to the rules and regulations of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17"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7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deposit agreement governing the ADSs representing our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1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343"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11"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provision is not permitted by applicable law, an action could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spacing w:after="0" w:line="108" w:lineRule="exact"/>
        <w:rPr>
          <w:sz w:val="20"/>
          <w:szCs w:val="20"/>
          <w:color w:val="auto"/>
        </w:rPr>
      </w:pPr>
    </w:p>
    <w:p>
      <w:pPr>
        <w:jc w:val="both"/>
        <w:ind w:left="1260" w:right="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13"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As a Cayman Islands exempted company listed on Nasdaq, we are subject to corporate governance listing standards of Nasdaq.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For example, we currently plan to follow our home country practice that: (i) does not require us to disclose any agreements or arrangements of third party director or nominee compensation, (ii) does not require us to solicit proxy and hold meetings of our shareholders every year, (iii) does not require us to make available to shareholders an annual report containing audited financial statements within a reasonable time following our filing of an annual report with the SEC, (iv) does not require that a majority of our board of directors satisfy the “independence” requirements of Rule 5605 of Nasdaq Stock Market Rules, (v) does not require each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member of our compensation committee and nominating and corporate governance committee to be an independent director, (vi) does not require that director nominees be either selected or recommended by independent directors, (vii) does not require us to seek shareholder approval prior to the issuance of securities in connection with the acquisition of stock or assets of another company, (viii) does not require us to seek shareholder approval prior to the issuance of securities when the issuance or potential issuance will result in a change of control of the Company, (ix) does not require us to seek shareholders’ approval for amending our share incentive plan, (x) does not require us to obtain shareholder approval for issuing additional securities exceeding 20% of our outstanding ordinary shares, and (xi) does not require that voting rights of existing shareholders cannot be disparately reduced or restricted through any corporate action or issuance. In the future, we may rely on other exemptions provided by Nasdaq. For details, please refer to “Management — Board of Directors.” Because we choose to follow home country practice in the future, our shareholders will be afforded less protection than they otherwise would enjoy under Nasdaq corporate governance listing standards applicable to U.S. domestic issuers.</w:t>
      </w:r>
    </w:p>
    <w:p>
      <w:pPr>
        <w:spacing w:after="0" w:line="118" w:lineRule="exact"/>
        <w:rPr>
          <w:sz w:val="20"/>
          <w:szCs w:val="20"/>
          <w:color w:val="auto"/>
        </w:rPr>
      </w:pPr>
    </w:p>
    <w:p>
      <w:pPr>
        <w:jc w:val="both"/>
        <w:ind w:left="1260" w:right="3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a passive foreign investment company, or PFIC, for U.S. federal income tax purposes for our current or future taxable years, which could result in adverse U.S. federal income tax consequences to U.S. investors in the ADSs or ordinary shares.</w:t>
      </w:r>
    </w:p>
    <w:p>
      <w:pPr>
        <w:spacing w:after="0" w:line="47"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general, a non-U.S. corporation is a PFIC for U.S. federal income tax purposes for any taxable year in which (i) 75% or more of its gross income consists of passive income or (ii) 50% or more of the average value of its assets (generally determined on a quarterly basis) consists of assets that produce, or are held for the production of, passive income. For purposes of the above calculations, a non-U.S. corporation that owns, directly or indirectly, at least 25% by value of the shares of another corporation is treated as if it directly held its proportionate share of the assets of the other corporation and directly earned its proportionate share of the income of the other corporation. Passive income generally includes dividends, interest, investment gains and certain rents and royalties (except for certain rents and royalties treated as derived in the active conduct of a trade or business for purposes of the PFIC rules). Cash and cash-equivalents are passive assets for these purposes. Goodwill is an active asset under the PFIC rules to the extent attributable to activities that produce active income.</w:t>
      </w:r>
    </w:p>
    <w:p>
      <w:pPr>
        <w:spacing w:after="0" w:line="275"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Based on (i) the current and expected composition of our income and assets, (ii) our characterization of certain categories of our income and assets as active income and assets for purposes of the PFIC rules and</w:t>
      </w:r>
    </w:p>
    <w:p>
      <w:pPr>
        <w:jc w:val="both"/>
        <w:ind w:left="1260" w:right="419"/>
        <w:spacing w:after="0"/>
        <w:tabs>
          <w:tab w:leader="none" w:pos="15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values of our assets, including the estimated value of our goodwill and certain other intangibles, which is based in large part on the expected price of the ADSs in this offering, we do not expect to be a PFIC for our current taxable year. However, our PFIC status for any taxable year is an annual determination that can be made only after the end of that year and will depend on the composition and characterization, for PFIC purposes, of our income and assets and the estimated value of our assets from time to time. Because we will hold a substantial amount of cash following this offering, we may be or become a PFIC for any taxable year if the value of our goodwill and other intangible assets that we believe should be treated as active assets are determined by reference to our market capitalization and our market capitalization fluctuates or declines after this offering. In addition, the U.S. Internal Revenue Service may not agree with our characterizations of certain categories of our income and assets as active income and assets for PFIC purposes. Accordingly, there can be no assurance that we will not be a PFIC for our current or any future taxable year.</w:t>
      </w:r>
    </w:p>
    <w:p>
      <w:pPr>
        <w:spacing w:after="0" w:line="270"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If we are a PFIC for any taxable year during which a U.S. investor owns the ADSs or ordinary shares, certain adverse U.S. federal income tax consequences could apply to such U.S. investor, including increased tax liability on disposition gains and certain “excess distributions” and additional reporting requirements. See “Taxation — Material U.S. Federal Income Tax Considerations — Passive Foreign Investment Company Rules.”</w:t>
      </w:r>
    </w:p>
    <w:p>
      <w:pPr>
        <w:spacing w:after="0" w:line="277" w:lineRule="exact"/>
        <w:rPr>
          <w:sz w:val="20"/>
          <w:szCs w:val="20"/>
          <w:color w:val="auto"/>
        </w:rPr>
      </w:pPr>
    </w:p>
    <w:p>
      <w:pPr>
        <w:jc w:val="both"/>
        <w:ind w:left="1260" w:right="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Under certain attribution rules certain of our non-U.S. subsidiaries are expected to be treated as “controlled foreign corporations” for U.S. federal income tax purposes, and, as a result, there could be adverse U.S. federal income tax consequences to U.S. investors that own the ADSs or ordinary shares (directly or indirectly) and are treated as “Ten Percent Shareholders.”</w:t>
      </w:r>
    </w:p>
    <w:p>
      <w:pPr>
        <w:spacing w:after="0" w:line="59"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Certain “Ten Percent Shareholders” (as​ defined below) in a non-U.S. corporation that is a “controlled foreign corporation” (a​ “</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for U.S. federal income tax purposes generally are required to include in income for U.S. federal income tax purposes their pro rata share of the CFC’s “Subpart F income,” investment of earnings in U.S. property, and “global intangible low-taxed income,” even if the CFC has made no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distributions to its shareholders. A non-U.S. corporation generally will be a CFC for U.S. federal income tax purposes if Ten Percent Shareholders own, directly, indirectly or constructively (through ownership attribution), more than 50% of either the total combined voting power of all classes of stock of such corporation entitled to vote or of the total value of the stock of such corporation. A “Ten Percent Shareholder” is a United States person (as defined by the U.S. Internal Revenue Code of 1986, as amended) that owns directly or indirectly, or is considered to own constructively, 10% or more of the total combined voting power of all classes of stock entitled to vote of such corporation or 10% or more of the total value of the stock of such corporation. We are not expected to be a CFC. However, the determination of CFC status is complex and includes certain “downward attribution” rules, pursuant to which certain of our non-U.S. subsidiaries are expected to be treated as constructively controlled by our U.S. subsidiaries and therefore certain of our non -U.S. subsidiaries are expected to be treated as CFCs. We do not intend to provide information to Ten Percent Shareholders that may be required in order for those shareholders to properly report their U.S. taxable income with respect to our or our subsidiaries’ operation. Prospective investors that may become Ten Percent Shareholders and that will own, directly or indirectly, the ADSs or ordinary shares should consult their tax adviser with respect to the potential adverse tax consequences of investing in us</w:t>
      </w:r>
      <w:r>
        <w:rPr>
          <w:rFonts w:ascii="Times New Roman" w:cs="Times New Roman" w:eastAsia="Times New Roman" w:hAnsi="Times New Roman"/>
          <w:sz w:val="18"/>
          <w:szCs w:val="18"/>
          <w:b w:val="1"/>
          <w:bCs w:val="1"/>
          <w:i w:val="1"/>
          <w:iCs w:val="1"/>
          <w:color w:val="auto"/>
        </w:rPr>
        <w:t>.</w:t>
      </w:r>
    </w:p>
    <w:p>
      <w:pPr>
        <w:spacing w:after="0" w:line="65"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will be a “controlled company” within the meaning of the rules of Nasdaq and, as a result, can rely on exemptions from certain corporate governance requirements that provide protection to shareholders of other companies.</w:t>
      </w:r>
    </w:p>
    <w:p>
      <w:pPr>
        <w:spacing w:after="0" w:line="47"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Upon completion of this offering, we will be a “controlled company” as defined under since Mr. Junjie Zhang, our founder, chairman of the board, and chief executive officer, will beneficially own more than 50% of our total voting power. For so long as we remain a controlled company under this definition, we are permitted to, and currently intend to elect to rely on certain exemptions from corporate governance rules, including:</w:t>
      </w:r>
    </w:p>
    <w:p>
      <w:pPr>
        <w:spacing w:after="0" w:line="282" w:lineRule="exact"/>
        <w:rPr>
          <w:sz w:val="20"/>
          <w:szCs w:val="20"/>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rule that a majority of our board of directors must be independent directors;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rule that each of our compensation committee members must be an independent director;</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rule that the compensation of our chief executive officer must be determined or recommended solely by independent directors;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rule that our director nominees must be selected or recommended solely by independent directors.</w:t>
      </w:r>
    </w:p>
    <w:p>
      <w:pPr>
        <w:spacing w:after="0" w:line="4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As a result, you will not have the same protection afforded to shareholders of companies that are subject to these corporate governance requirements.</w:t>
      </w:r>
    </w:p>
    <w:p>
      <w:pPr>
        <w:spacing w:after="0" w:line="37" w:lineRule="exact"/>
        <w:rPr>
          <w:sz w:val="20"/>
          <w:szCs w:val="20"/>
          <w:color w:val="auto"/>
        </w:rPr>
      </w:pPr>
    </w:p>
    <w:p>
      <w:pPr>
        <w:jc w:val="both"/>
        <w:ind w:left="1260" w:right="3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47"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Immediately after the completion of this offering, our ordinary shares will consist of 118,275,785 Class A ordinary shares and 65,274,107 Class B ordinary shares, assuming the underwriters do not exercise their option to purchase additional ADSs. In respect of matters requiring the votes of shareholders, holders of Class A ordinary shares will be entitled to one vote per share, while holders of Class B ordinary shares will be entitled to ten (10) votes per share. We will sell Class A ordinary shares represented by the ADSs in this offering. Our Class B ordinary shares are convertible at any time by the holder thereof into Class A ordinary shares on a one-for-one basis, while Class A ordinary shares are not convertible into Class B ordinary shares under any circumstances. In particular, as provided in Article 59(d)(ii) of our fourth amended and restated memorandum and articles of association, upon any sale, transfer, assignment or disposition of Class B ordinary shares by a holder thereof to any person which is not an Affiliate (as defined in the fourth amended and restated memorandum and articles of association) of Mr. Junjie Zhang, or upon a change of beneficial ownership of any Class B ordinary shares as a result of which any person who is not an Affiliate of Mr. Junjie Zhang becomes a beneficial owner of such ordinary shares, such Class B ordinary shares shall be automatically and immediately converted into an equal number of Class A ordinary shares. For the avoidance of doubt, (i) a sale, transfer, assignment or disposition shall be effective upon our registration of such sale, transfer, assignment or disposition in the register of members; (ii) the creation of any pledge, charge, encumbrance or other third-party right of whatever description on any Class B ordinary shares to secure any contractual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legal obligations shall not be deemed as a sale, transfer, assignment or disposition for the purpose of this Article unless and until any such pledge, charge, encumbrance or other third-party right is enforced and results in the third party who is not an Affiliate of Mr. Junjie Zhang becoming a beneficial owner of the relevant Class B ordinary shares in which case all the related Class B ordinary shares shall be automatically and immediately converted into the same number of Class A ordinary shares, and (iii) any sale, transfer, assignment or disposition of any Class B ordinary shares by a holder thereof to any person which is an Affiliate of Mr. Junjie Zhang shall not trigger the automatic conversion of such Class B ordinary shares into Class A ordinary shares as contemplated under this Article. Any future issuances of Class B ordinary shares may be dilutive to the voting power of holders of Class A ordinary shares. Any conversions of Class B ordinary shares into Class A ordinary shares may dilute the percentage ownership of the existing holders of Class A ordinary shares within their class of ordinary shares. Such conversions may increase the aggregate voting power of the existing holders of Class A ordinary shares. In the event that we have multiple holders of Class B ordinary shares in the future and certain of them convert their Class B ordinary shares into Class A ordinary shares, the remaining holders who retain their Class B ordinary shares may experience increases in their relative voting power.</w:t>
      </w:r>
    </w:p>
    <w:p>
      <w:pPr>
        <w:spacing w:after="0" w:line="278"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Immediately following the completion of this offering, Mr. Junjie Zhang, our founder, chairman of the board, and chief executive officer, will beneficially own 65,274,107 Class B ordinary shares and 89.0% of our total voting power, assuming that the underwriters do not exercise their option to purchase additional ADSs. This is due to the disparate voting powers associated with our dual-class share structure. See “Capitalization” and “Principal Shareholders.” As a result of the dual-class share structure and the concentration of ownership, Mr. Junjie Zhang will be able to determine the outcome of matters requiring shareholder approval, including those to be determined either by an ordinary resolution or a special resolution, such as decisions regarding change of directors, mergers, change of control transactions and other significant corporate actions. He may take actions that are not in the best interest of us or our other shareholders. In addition, no shareholder holding less than one third of all votes attaching to our issued and outstanding shares entitled to vote at our general meetings can requisition an extraordinary general meeting.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279"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Furthermore, 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dual-class structure of our ordinary shares may prevent the inclusion of the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ADSs. Any actions or publications by shareholder advisory firms critical of our corporate governance practices or capital structure could also adversely affect the value of the ADSs.</w:t>
      </w:r>
    </w:p>
    <w:p>
      <w:pPr>
        <w:spacing w:after="0" w:line="285"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Forum selection provisions in our post-offering memorandum and articles of association could limit the ability of holders of our Class A ordinary shares, ADSs, or other securities to obtain a favorable judicial forum for disputes with us, our directors and officers, the depositary bank, and potentially others.</w:t>
      </w:r>
    </w:p>
    <w:p>
      <w:pPr>
        <w:spacing w:after="0" w:line="40"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Our post-offering memorandum and articles of association provide that the state or federal courts in the State of New York are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shall be deemed to have notice of and consented to the provisions of our articles of association. However, the enforceability of similar choice of forum provisions has been challenged in legal proceedings in the United States, and it is possible that a court could find this type of provision to be inapplicable, unenforceable, or inconsistent with other documents that are relevant to the filing of such lawsuits. If a court were to find the federal choice of forum provision contained in our post-offering memorandum and articles of association to</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be inapplicable or unenforceable in an action, we may incur additional costs associated with resolving such action in other jurisdictions. If upheld, the forum selection clause in our post-offering memorandum and articles of association may limit a security-holder’s ability to bring a claim against us, our directors and officers, and potentially others in his or her preferred judicial forum, and this limitation may discourage such lawsuits. In addition, the Securities Act provides that both federal and state courts have jurisdiction over suits brought to enforce any duty or liability under the Securities Act or the rules and regulations thereunder. Accepting or consent to this forum selection provision does not constitute a waiver by you of compliance with federal securities laws and the rules and regulations thereunder. You may not waive compliance with federal securities laws and the rules and regulations thereunder. The exclusive forum provision in our post-offering memorandum and articles of association will not operate so as to deprive the courts of the Cayman Islands or Hong Kong from having jurisdiction over matters relating to our internal affairs.</w:t>
      </w:r>
    </w:p>
    <w:p>
      <w:pPr>
        <w:spacing w:after="0" w:line="282" w:lineRule="exact"/>
        <w:rPr>
          <w:sz w:val="20"/>
          <w:szCs w:val="20"/>
          <w:color w:val="auto"/>
        </w:rPr>
      </w:pPr>
    </w:p>
    <w:p>
      <w:pPr>
        <w:jc w:val="both"/>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ADS holder’s right to pursue claims against the depositary is limited by the terms of the deposit agreement. The obligation and liability of the depositary and us are also limited by the terms of the deposit agreement.</w:t>
      </w:r>
    </w:p>
    <w:p>
      <w:pPr>
        <w:spacing w:after="0" w:line="37"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Under the deposit agreement, any legal suit, action or proceeding against or involving us or the depositary, arising out of or relating in any way to the deposit agreement (including a cause of action arising under the Securities Act or the Exchange Act) or the transactions contemplated thereby or by virtue of owning the ADSs may only be instituted in the state or federal courts in the State of New York, and you, as a holder of the ADSs, will have irrevocably waived any objection which you may have to those courts as a venue for any such proceeding, and irrevocably submitted to the exclusive jurisdiction of such courts in any such action or proceeding. It is possible that a court could find this type of forum selection provision to be inapplicable, unenforceable, or inconsistent with other documents that are relevant to the filing of such lawsuits. For risks related to the enforceability of such exclusive forum selection provision, please see “— Forum selection provisions in our post-offering memorandum and articles of association could limit the ability of holders of our Class A ordinary shares, ADSs, or other securities to obtain a favorable judicial forum for disputes with us, our directors and officers, the depositary bank, and potentially others.” Accepting or consent to this forum selection provision does not constitute a waiver by you of compliance with federal securities laws and the rules and regulations thereunder. You may not waive compliance with federal securities laws and the rules and regulations thereunder. The deposit agreement provides that the depositary or an ADS holder may require any claim asserted by it against us arising out of or relating to our Class A ordinary shares, the ADSs or the deposit agreement be referred to and finally settled by an arbitration conducted under the terms described in the deposit agreement, although the arbitration provisions do not preclude you from pursuing any claim, including claims under the Securities Act or the Exchange Act in the federal district courts of the United States. The exclusive forum selection provisions in the deposit agreement also do not affect the right of any party to the deposit agreement to elect to submit a claim against us to arbitration, or our duty to submit that claim to arbitration, as provided in the deposit agreement, or the right of any party to an arbitration under the deposit agreement, to commence an action to compel that arbitration, or to enter judgment upon or to enforce an award by the arbitrators, in any court having jurisdiction over an action of that kind. See “Description of American Depositary Shares”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2"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This prospectus contains statements that constitute forward-looking statements. Many of the forward-looking statements contained in this prospectus can be identified by the use of forward-looking words such as “anticipate,” “believe,” “could,” “expect,” “should,” “plan,” “intend,” “estimate” and “potential,” among others.</w:t>
      </w:r>
    </w:p>
    <w:p>
      <w:pPr>
        <w:spacing w:after="0" w:line="33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prospectus. These risks and uncertainties include factors relating to:</w:t>
      </w:r>
    </w:p>
    <w:p>
      <w:pPr>
        <w:spacing w:after="0" w:line="81" w:lineRule="exact"/>
        <w:rPr>
          <w:sz w:val="20"/>
          <w:szCs w:val="20"/>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mission and growth strategies;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business and industry;</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identify and secure appropriate sites and timely develop and expand our operations;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our brand and reputation;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prevent food safety related incidents;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against security breaches of confidential and proprietary information;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modern teahouses and relevant industry players;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and tastes;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our anticipated revenue growth and profitability of our teahouses;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use of proceeds from this offering;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 in China and globally;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“Risk Factors.”</w:t>
      </w:r>
    </w:p>
    <w:p>
      <w:pPr>
        <w:spacing w:after="0" w:line="144"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light of the significant uncertainties in these forward-looking statements, you should not regard these statement as a representation or warranty by us or any other person that we will achieve our objectives and plans in any specified time frame, or at all. 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20"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expect to receive total estimated net proceeds from this offering of approximately US$375.6 million, or approximately US$433.0 million if the underwriters exercise their option to purchase additional ADSs in full, based on the initial public offering price of US$28.0 per ADS, after deducting underwriting discounts and commissions and the estimated offering expenses payable by us.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the following purposes:</w:t>
      </w:r>
    </w:p>
    <w:p>
      <w:pPr>
        <w:spacing w:after="0" w:line="117" w:lineRule="exact"/>
        <w:rPr>
          <w:sz w:val="20"/>
          <w:szCs w:val="20"/>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US$150.2 million for expanding our teahouse network in China and overseas;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US$75.1 million for brand building and marketing;</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US$56.3 million for investment in technology to support business development and operations;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US$37.6 million for developing and innovating new products;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US$18.8 million for building overseas supply chain network;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US$37.6 million for general corporate and working capital purposes.</w:t>
      </w:r>
    </w:p>
    <w:p>
      <w:pPr>
        <w:spacing w:after="0" w:line="14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an unforeseen event occurs or business conditions change, we may use the proceeds of this offering differently than as described in this prospectus. In utilizing the proceeds from this offering, we are permitted under PRC laws and regulations to provide funding to our PRC subsidiaries only through loans or capital contributions, and only if we satisfy the applicable government registration and approval requirements. We cannot assure you that we will be able to meet these requirements on a timely basis, if at all. See “Risk Factors — Risks Relating to Doing Business in China — PRC regulation of loans to and direct investment in PRC entities by offshore holding companies and currency conversion may delay us from using the proceeds of this offering to make loans or additional capital contributions to our PRC subsidiaries, which could materially and adversely affect our liquidity and our ability to fund and expand our business.”</w:t>
      </w:r>
    </w:p>
    <w:p>
      <w:pPr>
        <w:spacing w:after="0" w:line="121"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Pending use of the net proceeds, we intend to hold our net proceeds in short-term, interest-bearing, financial instruments or demand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have not previously declared or paid any cash dividend or dividend in kind, and we have no plan to declare or pay any dividends in the near future on our ordinary shares or the ADSs representing our Class A ordinary shares.</w:t>
      </w:r>
    </w:p>
    <w:p>
      <w:pPr>
        <w:spacing w:after="0" w:line="10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rely principally on dividends from our PRC subsidiaries for our cash requirements, including any payment of dividends to our shareholders. PRC regulations may restrict the ability of our PRC subsidiaries to pay dividends to us. See “Risk Factors — Risks Relating to Doing Business in China —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and “Regulation — Regulations Relating to Dividend Distributions.”</w:t>
      </w:r>
    </w:p>
    <w:p>
      <w:pPr>
        <w:spacing w:after="0" w:line="108"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Our board of directors has the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retained earnings, or share premium account, provided that in no circumstances may a dividend be paid if this would result in the company being unable to pay its debts as they fall due in the ordinary course of business immediately following the date on which the dividend is paid.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See “Description of American Depositary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table below sets forth our capitalization as of December 31, 2024:</w:t>
      </w:r>
    </w:p>
    <w:p>
      <w:pPr>
        <w:spacing w:after="0" w:line="117" w:lineRule="exact"/>
        <w:rPr>
          <w:sz w:val="20"/>
          <w:szCs w:val="20"/>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15" w:lineRule="exact"/>
        <w:rPr>
          <w:rFonts w:ascii="Times New Roman" w:cs="Times New Roman" w:eastAsia="Times New Roman" w:hAnsi="Times New Roman"/>
          <w:sz w:val="18"/>
          <w:szCs w:val="18"/>
          <w:color w:val="auto"/>
        </w:rPr>
      </w:pPr>
    </w:p>
    <w:p>
      <w:pPr>
        <w:jc w:val="both"/>
        <w:ind w:left="1800" w:right="1260" w:hanging="180"/>
        <w:spacing w:after="0" w:line="267"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to give effect to the automatic conversion or re-designation, as the case may be, of all of the issued and outstanding preferred shares on a one-for-one basis into Class A ordinary shares immediately prior to the completion of this offering; and</w:t>
      </w:r>
    </w:p>
    <w:p>
      <w:pPr>
        <w:spacing w:after="0" w:line="65" w:lineRule="exact"/>
        <w:rPr>
          <w:rFonts w:ascii="Times New Roman" w:cs="Times New Roman" w:eastAsia="Times New Roman" w:hAnsi="Times New Roman"/>
          <w:sz w:val="18"/>
          <w:szCs w:val="18"/>
          <w:color w:val="auto"/>
        </w:rPr>
      </w:pPr>
    </w:p>
    <w:p>
      <w:pPr>
        <w:jc w:val="both"/>
        <w:ind w:left="1800" w:right="1260" w:hanging="180"/>
        <w:spacing w:after="0" w:line="25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as adjusted basis to give effect to (i) the automatic conversion or re-designation, as the case may be, of all of the issued and outstanding preferred shares on a one-for-one basis into Class A ordinary shares immediately prior to the completion of this offering, and (ii) the issuance and sale of 14,683,991 Class A ordinary shares in this offering, and the receipt of approximately US$375.6 million in estimated net proceeds, considering an offering price of US$28.00 per ADS, after deduction of the underwriting discounts and commissions and estimated offering expenses payable by us, and the use of proceeds therefrom.</w:t>
      </w:r>
    </w:p>
    <w:p>
      <w:pPr>
        <w:spacing w:after="0" w:line="117" w:lineRule="exact"/>
        <w:rPr>
          <w:sz w:val="20"/>
          <w:szCs w:val="20"/>
          <w:color w:val="auto"/>
        </w:rPr>
      </w:pPr>
    </w:p>
    <w:p>
      <w:pPr>
        <w:jc w:val="both"/>
        <w:ind w:left="1260" w:right="1260" w:firstLine="360"/>
        <w:spacing w:after="0" w:line="266" w:lineRule="auto"/>
        <w:rPr>
          <w:sz w:val="20"/>
          <w:szCs w:val="20"/>
          <w:color w:val="auto"/>
        </w:rPr>
      </w:pPr>
      <w:r>
        <w:rPr>
          <w:rFonts w:ascii="Times New Roman" w:cs="Times New Roman" w:eastAsia="Times New Roman" w:hAnsi="Times New Roman"/>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6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 December 31, 2024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2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 as</w:t>
            </w:r>
          </w:p>
        </w:tc>
        <w:tc>
          <w:tcPr>
            <w:tcW w:w="220" w:type="dxa"/>
            <w:vAlign w:val="bottom"/>
            <w:tcBorders>
              <w:top w:val="single" w:sz="8" w:color="auto"/>
            </w:tcBorders>
          </w:tcPr>
          <w:p>
            <w:pPr>
              <w:spacing w:after="0"/>
              <w:rPr>
                <w:sz w:val="14"/>
                <w:szCs w:val="14"/>
                <w:color w:val="auto"/>
              </w:rPr>
            </w:pPr>
          </w:p>
        </w:tc>
        <w:tc>
          <w:tcPr>
            <w:tcW w:w="1260" w:type="dxa"/>
            <w:vAlign w:val="bottom"/>
          </w:tcPr>
          <w:p>
            <w:pPr>
              <w:spacing w:after="0"/>
              <w:rPr>
                <w:sz w:val="14"/>
                <w:szCs w:val="14"/>
                <w:color w:val="auto"/>
              </w:rPr>
            </w:pPr>
          </w:p>
        </w:tc>
      </w:tr>
      <w:tr>
        <w:trPr>
          <w:trHeight w:val="214"/>
        </w:trPr>
        <w:tc>
          <w:tcPr>
            <w:tcW w:w="12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20" w:type="dxa"/>
            <w:vAlign w:val="bottom"/>
            <w:tcBorders>
              <w:bottom w:val="single" w:sz="8" w:color="auto"/>
            </w:tcBorders>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7"/>
                <w:szCs w:val="17"/>
                <w:b w:val="1"/>
                <w:bCs w:val="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2"/>
        </w:trPr>
        <w:tc>
          <w:tcPr>
            <w:tcW w:w="126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RMB</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Pr>
          <w:p>
            <w:pPr>
              <w:ind w:left="100"/>
              <w:spacing w:after="0" w:line="253" w:lineRule="exact"/>
              <w:rPr>
                <w:sz w:val="20"/>
                <w:szCs w:val="20"/>
                <w:color w:val="auto"/>
              </w:rPr>
            </w:pPr>
            <w:r>
              <w:rPr>
                <w:rFonts w:ascii="Times New Roman" w:cs="Times New Roman" w:eastAsia="Times New Roman" w:hAnsi="Times New Roman"/>
                <w:sz w:val="28"/>
                <w:szCs w:val="28"/>
                <w:b w:val="1"/>
                <w:bCs w:val="1"/>
                <w:color w:val="auto"/>
                <w:w w:val="77"/>
                <w:vertAlign w:val="subscript"/>
              </w:rPr>
              <w:t>US$</w:t>
            </w:r>
            <w:r>
              <w:rPr>
                <w:rFonts w:ascii="Times New Roman" w:cs="Times New Roman" w:eastAsia="Times New Roman" w:hAnsi="Times New Roman"/>
                <w:sz w:val="9"/>
                <w:szCs w:val="9"/>
                <w:b w:val="1"/>
                <w:bCs w:val="1"/>
                <w:color w:val="auto"/>
                <w:w w:val="77"/>
              </w:rPr>
              <w:t>(2)</w:t>
            </w:r>
          </w:p>
        </w:tc>
        <w:tc>
          <w:tcPr>
            <w:tcW w:w="260" w:type="dxa"/>
            <w:vAlign w:val="bottom"/>
          </w:tcPr>
          <w:p>
            <w:pPr>
              <w:spacing w:after="0"/>
              <w:rPr>
                <w:sz w:val="21"/>
                <w:szCs w:val="21"/>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60" w:type="dxa"/>
            <w:vAlign w:val="bottom"/>
            <w:gridSpan w:val="4"/>
          </w:tcPr>
          <w:p>
            <w:pPr>
              <w:jc w:val="right"/>
              <w:ind w:right="80"/>
              <w:spacing w:after="0" w:line="253"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US$</w:t>
            </w:r>
            <w:r>
              <w:rPr>
                <w:rFonts w:ascii="Times New Roman" w:cs="Times New Roman" w:eastAsia="Times New Roman" w:hAnsi="Times New Roman"/>
                <w:sz w:val="17"/>
                <w:szCs w:val="17"/>
                <w:b w:val="1"/>
                <w:bCs w:val="1"/>
                <w:color w:val="auto"/>
                <w:vertAlign w:val="superscript"/>
              </w:rPr>
              <w:t>(2)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8"/>
                <w:szCs w:val="28"/>
                <w:b w:val="1"/>
                <w:bCs w:val="1"/>
                <w:color w:val="auto"/>
                <w:vertAlign w:val="subscript"/>
              </w:rPr>
              <w:t>​ ​</w:t>
            </w:r>
          </w:p>
        </w:tc>
        <w:tc>
          <w:tcPr>
            <w:tcW w:w="2480" w:type="dxa"/>
            <w:vAlign w:val="bottom"/>
            <w:gridSpan w:val="3"/>
          </w:tcPr>
          <w:p>
            <w:pPr>
              <w:ind w:left="20"/>
              <w:spacing w:after="0" w:line="253"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US$</w:t>
            </w:r>
            <w:r>
              <w:rPr>
                <w:rFonts w:ascii="Times New Roman" w:cs="Times New Roman" w:eastAsia="Times New Roman" w:hAnsi="Times New Roman"/>
                <w:sz w:val="17"/>
                <w:szCs w:val="17"/>
                <w:b w:val="1"/>
                <w:bCs w:val="1"/>
                <w:color w:val="auto"/>
                <w:vertAlign w:val="superscript"/>
              </w:rPr>
              <w:t>(2)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8"/>
                <w:szCs w:val="28"/>
                <w:b w:val="1"/>
                <w:bCs w:val="1"/>
                <w:color w:val="auto"/>
                <w:vertAlign w:val="subscript"/>
              </w:rPr>
              <w:t>​</w:t>
            </w:r>
          </w:p>
        </w:tc>
      </w:tr>
      <w:tr>
        <w:trPr>
          <w:trHeight w:val="227"/>
        </w:trPr>
        <w:tc>
          <w:tcPr>
            <w:tcW w:w="126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126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4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19"/>
                <w:szCs w:val="19"/>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126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Series A convertible redeemable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shares (US$0.0001 par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 34,833,028 shares authorized,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on an 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basis; nil shares authorized, issued,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on a pro forma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basis and on a pro forma as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basis as of December 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231,944​​ ​</w:t>
            </w:r>
            <w:r>
              <w:rPr>
                <w:rFonts w:ascii="Times New Roman" w:cs="Times New Roman" w:eastAsia="Times New Roman" w:hAnsi="Times New Roman"/>
                <w:sz w:val="18"/>
                <w:szCs w:val="18"/>
                <w:b w:val="1"/>
                <w:bCs w:val="1"/>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31,776​​ ​</w:t>
            </w:r>
            <w:r>
              <w:rPr>
                <w:rFonts w:ascii="Times New Roman" w:cs="Times New Roman" w:eastAsia="Times New Roman" w:hAnsi="Times New Roman"/>
                <w:sz w:val="18"/>
                <w:szCs w:val="18"/>
                <w:b w:val="1"/>
                <w:bCs w:val="1"/>
                <w:color w:val="auto"/>
              </w:rPr>
              <w:t>​</w:t>
            </w:r>
          </w:p>
        </w:tc>
        <w:tc>
          <w:tcPr>
            <w:tcW w:w="9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0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126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convertible redeemable</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 (US$0.0001 par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 14,914,404 shares authorized,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on an actual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basis; nil shares authorized, issued,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 on a pro forma</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basis and on a pro forma as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basis as of December 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234,715​​ ​</w:t>
            </w:r>
            <w:r>
              <w:rPr>
                <w:rFonts w:ascii="Times New Roman" w:cs="Times New Roman" w:eastAsia="Times New Roman" w:hAnsi="Times New Roman"/>
                <w:sz w:val="18"/>
                <w:szCs w:val="18"/>
                <w:b w:val="1"/>
                <w:bCs w:val="1"/>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32,156​​ ​</w:t>
            </w: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spacing w:after="0"/>
              <w:rPr>
                <w:sz w:val="20"/>
                <w:szCs w:val="20"/>
                <w:color w:val="auto"/>
              </w:rPr>
            </w:pPr>
          </w:p>
        </w:tc>
      </w:tr>
      <w:tr>
        <w:trPr>
          <w:trHeight w:val="225"/>
        </w:trPr>
        <w:tc>
          <w:tcPr>
            <w:tcW w:w="126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redeemable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shares (US$0.0001 par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 20,374,577 shares authorized,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on an 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basis; nil shares authorized, issued,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on a pro forma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basis and on a pro forma as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basis as of December 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467,121​​ ​</w:t>
            </w:r>
            <w:r>
              <w:rPr>
                <w:rFonts w:ascii="Times New Roman" w:cs="Times New Roman" w:eastAsia="Times New Roman" w:hAnsi="Times New Roman"/>
                <w:sz w:val="18"/>
                <w:szCs w:val="18"/>
                <w:b w:val="1"/>
                <w:bCs w:val="1"/>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63,995​​ ​</w:t>
            </w:r>
            <w:r>
              <w:rPr>
                <w:rFonts w:ascii="Times New Roman" w:cs="Times New Roman" w:eastAsia="Times New Roman" w:hAnsi="Times New Roman"/>
                <w:sz w:val="18"/>
                <w:szCs w:val="18"/>
                <w:b w:val="1"/>
                <w:bCs w:val="1"/>
                <w:color w:val="auto"/>
              </w:rPr>
              <w:t>​</w:t>
            </w:r>
          </w:p>
        </w:tc>
        <w:tc>
          <w:tcPr>
            <w:tcW w:w="9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0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6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4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933,780​​ ​</w:t>
            </w:r>
            <w:r>
              <w:rPr>
                <w:rFonts w:ascii="Times New Roman" w:cs="Times New Roman" w:eastAsia="Times New Roman" w:hAnsi="Times New Roman"/>
                <w:sz w:val="18"/>
                <w:szCs w:val="18"/>
                <w:b w:val="1"/>
                <w:bCs w:val="1"/>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127,927​​ ​</w:t>
            </w: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spacing w:after="0"/>
              <w:rPr>
                <w:sz w:val="19"/>
                <w:szCs w:val="19"/>
                <w:color w:val="auto"/>
              </w:rPr>
            </w:pPr>
          </w:p>
        </w:tc>
      </w:tr>
      <w:tr>
        <w:trPr>
          <w:trHeight w:val="608"/>
        </w:trPr>
        <w:tc>
          <w:tcPr>
            <w:tcW w:w="1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72</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 ​</w:t>
            </w:r>
          </w:p>
        </w:tc>
        <w:tc>
          <w:tcPr>
            <w:tcW w:w="15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 of December 31, 2024</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Pro Forma as</w:t>
            </w:r>
          </w:p>
        </w:tc>
        <w:tc>
          <w:tcPr>
            <w:tcW w:w="40" w:type="dxa"/>
            <w:vAlign w:val="bottom"/>
          </w:tcPr>
          <w:p>
            <w:pPr>
              <w:spacing w:after="0"/>
              <w:rPr>
                <w:sz w:val="14"/>
                <w:szCs w:val="14"/>
                <w:color w:val="auto"/>
              </w:rPr>
            </w:pPr>
          </w:p>
        </w:tc>
      </w:tr>
      <w:tr>
        <w:trPr>
          <w:trHeight w:val="214"/>
        </w:trPr>
        <w:tc>
          <w:tcPr>
            <w:tcW w:w="1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 ​</w:t>
            </w:r>
          </w:p>
        </w:tc>
        <w:tc>
          <w:tcPr>
            <w:tcW w:w="15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Pro Forma</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adjusted</w:t>
            </w:r>
            <w:r>
              <w:rPr>
                <w:rFonts w:ascii="Times New Roman" w:cs="Times New Roman" w:eastAsia="Times New Roman" w:hAnsi="Times New Roman"/>
                <w:sz w:val="17"/>
                <w:szCs w:val="17"/>
                <w:b w:val="1"/>
                <w:bCs w:val="1"/>
                <w:color w:val="auto"/>
                <w:w w:val="92"/>
                <w:vertAlign w:val="superscript"/>
              </w:rPr>
              <w:t>(1)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2"/>
        </w:trPr>
        <w:tc>
          <w:tcPr>
            <w:tcW w:w="1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 ​</w:t>
            </w:r>
          </w:p>
        </w:tc>
        <w:tc>
          <w:tcPr>
            <w:tcW w:w="1540" w:type="dxa"/>
            <w:vAlign w:val="bottom"/>
          </w:tcPr>
          <w:p>
            <w:pPr>
              <w:ind w:left="200"/>
              <w:spacing w:after="0" w:line="253"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US$</w:t>
            </w:r>
            <w:r>
              <w:rPr>
                <w:rFonts w:ascii="Times New Roman" w:cs="Times New Roman" w:eastAsia="Times New Roman" w:hAnsi="Times New Roman"/>
                <w:sz w:val="17"/>
                <w:szCs w:val="17"/>
                <w:b w:val="1"/>
                <w:bCs w:val="1"/>
                <w:color w:val="auto"/>
                <w:vertAlign w:val="superscript"/>
              </w:rPr>
              <w:t>(2)</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540" w:type="dxa"/>
            <w:vAlign w:val="bottom"/>
          </w:tcPr>
          <w:p>
            <w:pPr>
              <w:ind w:left="220"/>
              <w:spacing w:after="0" w:line="253"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US$</w:t>
            </w:r>
            <w:r>
              <w:rPr>
                <w:rFonts w:ascii="Times New Roman" w:cs="Times New Roman" w:eastAsia="Times New Roman" w:hAnsi="Times New Roman"/>
                <w:sz w:val="17"/>
                <w:szCs w:val="17"/>
                <w:b w:val="1"/>
                <w:bCs w:val="1"/>
                <w:color w:val="auto"/>
                <w:vertAlign w:val="superscript"/>
              </w:rPr>
              <w:t>(2)</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540" w:type="dxa"/>
            <w:vAlign w:val="bottom"/>
          </w:tcPr>
          <w:p>
            <w:pPr>
              <w:ind w:left="200"/>
              <w:spacing w:after="0" w:line="253"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US$</w:t>
            </w:r>
            <w:r>
              <w:rPr>
                <w:rFonts w:ascii="Times New Roman" w:cs="Times New Roman" w:eastAsia="Times New Roman" w:hAnsi="Times New Roman"/>
                <w:sz w:val="17"/>
                <w:szCs w:val="17"/>
                <w:b w:val="1"/>
                <w:bCs w:val="1"/>
                <w:color w:val="auto"/>
                <w:vertAlign w:val="superscript"/>
              </w:rPr>
              <w:t>(2)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0"/>
        </w:trPr>
        <w:tc>
          <w:tcPr>
            <w:tcW w:w="1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 ​</w:t>
            </w: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40" w:lineRule="exact"/>
        <w:rPr>
          <w:sz w:val="20"/>
          <w:szCs w:val="20"/>
          <w:color w:val="auto"/>
        </w:rPr>
      </w:pPr>
    </w:p>
    <w:p>
      <w:pPr>
        <w:ind w:left="1440" w:hanging="179"/>
        <w:spacing w:after="0" w:line="252" w:lineRule="auto"/>
        <w:rPr>
          <w:sz w:val="20"/>
          <w:szCs w:val="20"/>
          <w:color w:val="auto"/>
        </w:rPr>
      </w:pPr>
      <w:r>
        <w:rPr>
          <w:rFonts w:ascii="Times New Roman" w:cs="Times New Roman" w:eastAsia="Times New Roman" w:hAnsi="Times New Roman"/>
          <w:sz w:val="18"/>
          <w:szCs w:val="18"/>
          <w:color w:val="auto"/>
        </w:rPr>
        <w:t>Class A ordinary shares (US$0.0001 par value; 364,603,884 shares authorized, 39,169,393 shares issued and 33,469,785 shares outstanding on an actual basis; 364,603,884 shares authorized, 109,291,402 shares issued and 103,591,794 shares outstanding on a pro forma basis; 364,603,884 shares authorized, 123,975,393 shares issued and 118,275,785 shares outstanding on a pro forma as adjusted basis as of December 31, 2024)</w:t>
      </w:r>
    </w:p>
    <w:p>
      <w:pPr>
        <w:spacing w:after="0" w:line="239" w:lineRule="exact"/>
        <w:rPr>
          <w:sz w:val="20"/>
          <w:szCs w:val="20"/>
          <w:color w:val="auto"/>
        </w:rPr>
      </w:pPr>
    </w:p>
    <w:p>
      <w:pPr>
        <w:ind w:left="1440" w:right="180" w:hanging="179"/>
        <w:spacing w:after="0" w:line="256" w:lineRule="auto"/>
        <w:rPr>
          <w:sz w:val="20"/>
          <w:szCs w:val="20"/>
          <w:color w:val="auto"/>
        </w:rPr>
      </w:pPr>
      <w:r>
        <w:rPr>
          <w:rFonts w:ascii="Times New Roman" w:cs="Times New Roman" w:eastAsia="Times New Roman" w:hAnsi="Times New Roman"/>
          <w:sz w:val="18"/>
          <w:szCs w:val="18"/>
          <w:color w:val="auto"/>
        </w:rPr>
        <w:t>Class B ordinary shares (US$0.0001 par value; 65,274,107 shares authorized, issued and outstanding on an actual basis, pro forma basis and pro forma as adjusted basis as of December 31, 2024)</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tabs>
          <w:tab w:leader="none" w:pos="860" w:val="left"/>
          <w:tab w:leader="none" w:pos="1660" w:val="left"/>
          <w:tab w:leader="none" w:pos="2600" w:val="left"/>
          <w:tab w:leader="none" w:pos="3380" w:val="left"/>
          <w:tab w:leader="none" w:pos="4320" w:val="left"/>
          <w:tab w:leader="none" w:pos="5120"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680" w:val="left"/>
          <w:tab w:leader="none" w:pos="1560" w:val="left"/>
          <w:tab w:leader="none" w:pos="2420" w:val="left"/>
          <w:tab w:leader="none" w:pos="3200" w:val="left"/>
          <w:tab w:leader="none" w:pos="4140" w:val="left"/>
          <w:tab w:leader="none" w:pos="494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78​​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89​​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26035</wp:posOffset>
            </wp:positionV>
            <wp:extent cx="5212080" cy="8489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208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680" w:val="left"/>
          <w:tab w:leader="none" w:pos="1560" w:val="left"/>
          <w:tab w:leader="none" w:pos="2420" w:val="left"/>
          <w:tab w:leader="none" w:pos="3300" w:val="left"/>
          <w:tab w:leader="none" w:pos="4140" w:val="left"/>
          <w:tab w:leader="none" w:pos="504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49​​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49​​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49​​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7​</w:t>
      </w:r>
    </w:p>
    <w:p>
      <w:pPr>
        <w:spacing w:after="0" w:line="38" w:lineRule="exact"/>
        <w:rPr>
          <w:sz w:val="20"/>
          <w:szCs w:val="20"/>
          <w:color w:val="auto"/>
        </w:rPr>
      </w:pPr>
    </w:p>
    <w:p>
      <w:pPr>
        <w:sectPr>
          <w:pgSz w:w="11900" w:h="16838" w:orient="portrait"/>
          <w:cols w:equalWidth="0" w:num="2">
            <w:col w:w="4220" w:space="100"/>
            <w:col w:w="555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6"/>
        </w:trPr>
        <w:tc>
          <w:tcPr>
            <w:tcW w:w="302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Treasury stock</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5"/>
          </w:tcPr>
          <w:p>
            <w:pPr>
              <w:jc w:val="right"/>
              <w:ind w:right="112"/>
              <w:spacing w:after="0" w:line="206" w:lineRule="exact"/>
              <w:rPr>
                <w:sz w:val="20"/>
                <w:szCs w:val="20"/>
                <w:color w:val="auto"/>
              </w:rPr>
            </w:pPr>
            <w:r>
              <w:rPr>
                <w:rFonts w:ascii="Times New Roman" w:cs="Times New Roman" w:eastAsia="Times New Roman" w:hAnsi="Times New Roman"/>
                <w:sz w:val="18"/>
                <w:szCs w:val="18"/>
                <w:color w:val="auto"/>
              </w:rPr>
              <w:t>(210,082)  (28,781)</w:t>
            </w:r>
          </w:p>
        </w:tc>
        <w:tc>
          <w:tcPr>
            <w:tcW w:w="60" w:type="dxa"/>
            <w:vAlign w:val="bottom"/>
          </w:tcPr>
          <w:p>
            <w:pPr>
              <w:spacing w:after="0"/>
              <w:rPr>
                <w:sz w:val="17"/>
                <w:szCs w:val="17"/>
                <w:color w:val="auto"/>
              </w:rPr>
            </w:pPr>
          </w:p>
        </w:tc>
        <w:tc>
          <w:tcPr>
            <w:tcW w:w="1660" w:type="dxa"/>
            <w:vAlign w:val="bottom"/>
            <w:gridSpan w:val="5"/>
          </w:tcPr>
          <w:p>
            <w:pPr>
              <w:jc w:val="right"/>
              <w:ind w:right="112"/>
              <w:spacing w:after="0" w:line="206" w:lineRule="exact"/>
              <w:rPr>
                <w:sz w:val="20"/>
                <w:szCs w:val="20"/>
                <w:color w:val="auto"/>
              </w:rPr>
            </w:pPr>
            <w:r>
              <w:rPr>
                <w:rFonts w:ascii="Times New Roman" w:cs="Times New Roman" w:eastAsia="Times New Roman" w:hAnsi="Times New Roman"/>
                <w:sz w:val="18"/>
                <w:szCs w:val="18"/>
                <w:color w:val="auto"/>
              </w:rPr>
              <w:t>(210,082)  (28,781)</w:t>
            </w:r>
          </w:p>
        </w:tc>
        <w:tc>
          <w:tcPr>
            <w:tcW w:w="80" w:type="dxa"/>
            <w:vAlign w:val="bottom"/>
          </w:tcPr>
          <w:p>
            <w:pPr>
              <w:spacing w:after="0"/>
              <w:rPr>
                <w:sz w:val="17"/>
                <w:szCs w:val="17"/>
                <w:color w:val="auto"/>
              </w:rPr>
            </w:pPr>
          </w:p>
        </w:tc>
        <w:tc>
          <w:tcPr>
            <w:tcW w:w="1520" w:type="dxa"/>
            <w:vAlign w:val="bottom"/>
            <w:gridSpan w:val="7"/>
          </w:tcPr>
          <w:p>
            <w:pPr>
              <w:jc w:val="right"/>
              <w:spacing w:after="0" w:line="206" w:lineRule="exact"/>
              <w:rPr>
                <w:sz w:val="20"/>
                <w:szCs w:val="20"/>
                <w:color w:val="auto"/>
              </w:rPr>
            </w:pPr>
            <w:r>
              <w:rPr>
                <w:rFonts w:ascii="Times New Roman" w:cs="Times New Roman" w:eastAsia="Times New Roman" w:hAnsi="Times New Roman"/>
                <w:sz w:val="18"/>
                <w:szCs w:val="18"/>
                <w:color w:val="auto"/>
              </w:rPr>
              <w:t>(210,082)  (28,781)</w:t>
            </w:r>
          </w:p>
        </w:tc>
        <w:tc>
          <w:tcPr>
            <w:tcW w:w="0" w:type="dxa"/>
            <w:vAlign w:val="bottom"/>
          </w:tcPr>
          <w:p>
            <w:pPr>
              <w:spacing w:after="0"/>
              <w:rPr>
                <w:sz w:val="1"/>
                <w:szCs w:val="1"/>
                <w:color w:val="auto"/>
              </w:rPr>
            </w:pPr>
          </w:p>
        </w:tc>
      </w:tr>
      <w:tr>
        <w:trPr>
          <w:trHeight w:val="54"/>
        </w:trPr>
        <w:tc>
          <w:tcPr>
            <w:tcW w:w="302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gridSpan w:val="2"/>
          </w:tcPr>
          <w:p>
            <w:pPr>
              <w:jc w:val="right"/>
              <w:ind w:right="80"/>
              <w:spacing w:after="0" w:line="54" w:lineRule="exact"/>
              <w:rPr>
                <w:sz w:val="20"/>
                <w:szCs w:val="20"/>
                <w:color w:val="auto"/>
              </w:rPr>
            </w:pPr>
            <w:r>
              <w:rPr>
                <w:rFonts w:ascii="Times New Roman" w:cs="Times New Roman" w:eastAsia="Times New Roman" w:hAnsi="Times New Roman"/>
                <w:sz w:val="6"/>
                <w:szCs w:val="6"/>
                <w:color w:val="auto"/>
              </w:rPr>
              <w:t>​​ ​​</w:t>
            </w:r>
          </w:p>
        </w:tc>
        <w:tc>
          <w:tcPr>
            <w:tcW w:w="480" w:type="dxa"/>
            <w:vAlign w:val="bottom"/>
          </w:tcPr>
          <w:p>
            <w:pPr>
              <w:spacing w:after="0"/>
              <w:rPr>
                <w:sz w:val="4"/>
                <w:szCs w:val="4"/>
                <w:color w:val="auto"/>
              </w:rPr>
            </w:pPr>
          </w:p>
        </w:tc>
        <w:tc>
          <w:tcPr>
            <w:tcW w:w="26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660" w:type="dxa"/>
            <w:vAlign w:val="bottom"/>
          </w:tcPr>
          <w:p>
            <w:pPr>
              <w:spacing w:after="0"/>
              <w:rPr>
                <w:sz w:val="4"/>
                <w:szCs w:val="4"/>
                <w:color w:val="auto"/>
              </w:rPr>
            </w:pPr>
          </w:p>
        </w:tc>
        <w:tc>
          <w:tcPr>
            <w:tcW w:w="320" w:type="dxa"/>
            <w:vAlign w:val="bottom"/>
            <w:gridSpan w:val="2"/>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 ​​</w:t>
            </w:r>
          </w:p>
        </w:tc>
        <w:tc>
          <w:tcPr>
            <w:tcW w:w="480" w:type="dxa"/>
            <w:vAlign w:val="bottom"/>
          </w:tcPr>
          <w:p>
            <w:pPr>
              <w:spacing w:after="0"/>
              <w:rPr>
                <w:sz w:val="4"/>
                <w:szCs w:val="4"/>
                <w:color w:val="auto"/>
              </w:rPr>
            </w:pPr>
          </w:p>
        </w:tc>
        <w:tc>
          <w:tcPr>
            <w:tcW w:w="28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660" w:type="dxa"/>
            <w:vAlign w:val="bottom"/>
          </w:tcPr>
          <w:p>
            <w:pPr>
              <w:spacing w:after="0"/>
              <w:rPr>
                <w:sz w:val="4"/>
                <w:szCs w:val="4"/>
                <w:color w:val="auto"/>
              </w:rPr>
            </w:pPr>
          </w:p>
        </w:tc>
        <w:tc>
          <w:tcPr>
            <w:tcW w:w="340" w:type="dxa"/>
            <w:vAlign w:val="bottom"/>
            <w:gridSpan w:val="3"/>
          </w:tcPr>
          <w:p>
            <w:pPr>
              <w:jc w:val="right"/>
              <w:ind w:right="80"/>
              <w:spacing w:after="0" w:line="54" w:lineRule="exact"/>
              <w:rPr>
                <w:sz w:val="20"/>
                <w:szCs w:val="20"/>
                <w:color w:val="auto"/>
              </w:rPr>
            </w:pPr>
            <w:r>
              <w:rPr>
                <w:rFonts w:ascii="Times New Roman" w:cs="Times New Roman" w:eastAsia="Times New Roman" w:hAnsi="Times New Roman"/>
                <w:sz w:val="6"/>
                <w:szCs w:val="6"/>
                <w:color w:val="auto"/>
              </w:rPr>
              <w:t>​​ ​​</w:t>
            </w: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5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920" w:type="dxa"/>
            <w:vAlign w:val="bottom"/>
            <w:gridSpan w:val="17"/>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90,853​​ ​​ 12,447​​ ​​1,024,582​​ ​​140,366​​ ​​3,766,312​​ ​​515,982</w:t>
            </w:r>
          </w:p>
        </w:tc>
        <w:tc>
          <w:tcPr>
            <w:tcW w:w="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Statutory reserve</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18,437​​ ​​</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2,526​​ ​​</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18,437​​ ​​</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2,526​​ ​​</w:t>
            </w: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18,437​​ ​​</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0" w:type="dxa"/>
            <w:vAlign w:val="bottom"/>
          </w:tcPr>
          <w:p>
            <w:pPr>
              <w:spacing w:after="0"/>
              <w:rPr>
                <w:sz w:val="1"/>
                <w:szCs w:val="1"/>
                <w:color w:val="auto"/>
              </w:rPr>
            </w:pPr>
          </w:p>
        </w:tc>
      </w:tr>
      <w:tr>
        <w:trPr>
          <w:trHeight w:val="25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5180" w:type="dxa"/>
            <w:vAlign w:val="bottom"/>
            <w:gridSpan w:val="19"/>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​​2,752,024​​ ​​377,026​​ ​​2,752,024​​ ​​377,026​​ ​​2,752,024​​ ​​377,026</w:t>
            </w:r>
          </w:p>
        </w:tc>
        <w:tc>
          <w:tcPr>
            <w:tcW w:w="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2,597​​ ​​</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356​​ ​​</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2,597​​ ​​</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356​​ ​​</w:t>
            </w: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2,597​​ ​​</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4"/>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of the</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5180" w:type="dxa"/>
            <w:vAlign w:val="bottom"/>
            <w:gridSpan w:val="19"/>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​​2,653,905​​ ​​363,585​​ ​​3,587,685​​ ​​491,512​​ ​​6,329,426​​ ​​867,129</w:t>
            </w:r>
          </w:p>
        </w:tc>
        <w:tc>
          <w:tcPr>
            <w:tcW w:w="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5240" w:type="dxa"/>
            <w:vAlign w:val="bottom"/>
            <w:gridSpan w:val="21"/>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​3,587,685</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​491,512</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​3,587,685</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​491,512</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​6,329,426</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​867,129</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-530860</wp:posOffset>
            </wp:positionV>
            <wp:extent cx="137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-530860</wp:posOffset>
            </wp:positionV>
            <wp:extent cx="1289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-530860</wp:posOffset>
            </wp:positionV>
            <wp:extent cx="1289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-530860</wp:posOffset>
            </wp:positionV>
            <wp:extent cx="1289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-530860</wp:posOffset>
            </wp:positionV>
            <wp:extent cx="26314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314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3" w:lineRule="exact"/>
        <w:rPr>
          <w:sz w:val="20"/>
          <w:szCs w:val="20"/>
          <w:color w:val="auto"/>
        </w:rPr>
      </w:pPr>
    </w:p>
    <w:p>
      <w:pPr>
        <w:jc w:val="both"/>
        <w:ind w:left="1620" w:right="419" w:hanging="360"/>
        <w:spacing w:after="0" w:line="258" w:lineRule="auto"/>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as adjusted information discussed above is illustrative only. Our additional paid-in capital, total shareholders’ equity of the Company and total capitalization (as defined as the sum of total mezzanine equity and total shareholders’ equity of the Company) following the completion of this offering are subject to adjustment based on the actual initial public offering price and other terms of this offering determined at pricing.</w:t>
      </w:r>
    </w:p>
    <w:p>
      <w:pPr>
        <w:spacing w:after="0" w:line="48"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translations from Renminbi to U.S. dollars are made at a rate of RMB7.2993 to US$1.00, and the translations from U.S. dollars to Renminbi are made at a rate of US$1.00 to RMB7.2993, the exchange rate in effect as of December 31, 2024 as set forth in the H.10 statistical release of The Board of Governors of the Federal Reserve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jc w:val="both"/>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Class A ordinary share is substantially in excess of the book value per ordinary share attributable to the existing shareholders for our presently issued and outstanding ordinary shares.</w:t>
      </w:r>
    </w:p>
    <w:p>
      <w:pPr>
        <w:spacing w:after="0" w:line="105"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net tangible book value as of December 31, 2024 was US$374.6 million, or US$3.79 per ordinary share and US$3.79 per ADS. Net tangible book value represents the amount of our total consolidated assets, minus the amount of our intangible assets, net and goodwill, less the amount of our total consolidated liabilities and total mezzanine equity. Net tangible book value as of December 31, 2024 per ordinary share represents the net tangible book value as of December 31, 2024 divided by the number of ordinary shares issued and outstanding as of December 31, 2024. Dilution is determined by subtracting net tangible book value per ordinary share as adjusted from the initial public offering price per Class A ordinary share.</w:t>
      </w:r>
    </w:p>
    <w:p>
      <w:pPr>
        <w:spacing w:after="0" w:line="109"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Without taking into account any other changes in such net tangible book value after December 31, 2024 other than to give effect to (i) the conversion of all of our preferred shares into Class A ordinary shares on a one-to-one basis which will occur automatically immediately prior to the completion of this offering and</w:t>
      </w:r>
    </w:p>
    <w:p>
      <w:pPr>
        <w:spacing w:after="0" w:line="2" w:lineRule="exact"/>
        <w:rPr>
          <w:sz w:val="20"/>
          <w:szCs w:val="20"/>
          <w:color w:val="auto"/>
        </w:rPr>
      </w:pPr>
    </w:p>
    <w:p>
      <w:pPr>
        <w:jc w:val="both"/>
        <w:ind w:left="1260" w:right="419"/>
        <w:spacing w:after="0" w:line="265" w:lineRule="auto"/>
        <w:tabs>
          <w:tab w:leader="none" w:pos="158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and sale of Class A ordinary shares represented by 14,683,991 ADSs offered in this offering at the initial public offering price of US$28.00 per ADS, after deduction of the underwriting discounts and commissions and estimated offering expenses payable by us, our pro forma as adjusted net tangible book value as of December 31, 2024 would have been approximately US$878.1 million, or US$4.78 per ordinary share and US$4.78 per ADS. This represents an immediate increase in net tangible book value of US$0.99 per ordinary share and US$0.99 per ADS to existing shareholders and an immediate dilution in net tangible book value of US$23.22 per ordinary share, or US$23.22 per ADS, to purchasers of ADSs in this offering.</w:t>
      </w:r>
    </w:p>
    <w:p>
      <w:pPr>
        <w:spacing w:after="0" w:line="3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illustrates such dilution:</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0" w:type="dxa"/>
            <w:vAlign w:val="bottom"/>
            <w:gridSpan w:val="2"/>
          </w:tcPr>
          <w:p>
            <w:pPr>
              <w:ind w:left="310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Share</w:t>
            </w:r>
          </w:p>
        </w:tc>
        <w:tc>
          <w:tcPr>
            <w:tcW w:w="1120" w:type="dxa"/>
            <w:vAlign w:val="bottom"/>
            <w:gridSpan w:val="3"/>
          </w:tcPr>
          <w:p>
            <w:pPr>
              <w:ind w:left="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Per ADS  </w:t>
            </w:r>
            <w:r>
              <w:rPr>
                <w:rFonts w:ascii="Times New Roman" w:cs="Times New Roman" w:eastAsia="Times New Roman" w:hAnsi="Times New Roman"/>
                <w:sz w:val="24"/>
                <w:szCs w:val="24"/>
                <w:b w:val="1"/>
                <w:bCs w:val="1"/>
                <w:color w:val="auto"/>
                <w:vertAlign w:val="subscript"/>
              </w:rPr>
              <w:t>​</w:t>
            </w:r>
          </w:p>
        </w:tc>
      </w:tr>
      <w:tr>
        <w:trPr>
          <w:trHeight w:val="20"/>
        </w:trPr>
        <w:tc>
          <w:tcPr>
            <w:tcW w:w="31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-8255</wp:posOffset>
            </wp:positionV>
            <wp:extent cx="521208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Initial public offering price per Class A ordinary share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tangible book value per ordinary share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436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2080" cy="436880"/>
                    </a:xfrm>
                    <a:prstGeom prst="rect">
                      <a:avLst/>
                    </a:prstGeom>
                    <a:noFill/>
                  </pic:spPr>
                </pic:pic>
              </a:graphicData>
            </a:graphic>
          </wp:anchor>
        </w:drawing>
      </w:r>
    </w:p>
    <w:p>
      <w:pPr>
        <w:spacing w:after="0" w:line="16" w:lineRule="exact"/>
        <w:rPr>
          <w:sz w:val="20"/>
          <w:szCs w:val="20"/>
          <w:color w:val="auto"/>
        </w:rPr>
      </w:pPr>
    </w:p>
    <w:p>
      <w:pPr>
        <w:jc w:val="both"/>
        <w:ind w:left="1440" w:right="200" w:hanging="179"/>
        <w:spacing w:after="0" w:line="266" w:lineRule="auto"/>
        <w:rPr>
          <w:sz w:val="20"/>
          <w:szCs w:val="20"/>
          <w:color w:val="auto"/>
        </w:rPr>
      </w:pPr>
      <w:r>
        <w:rPr>
          <w:rFonts w:ascii="Times New Roman" w:cs="Times New Roman" w:eastAsia="Times New Roman" w:hAnsi="Times New Roman"/>
          <w:sz w:val="18"/>
          <w:szCs w:val="18"/>
          <w:color w:val="auto"/>
        </w:rPr>
        <w:t>Pro forma net tangible book value per ordinary share after giving effect to the automatic conversion of all of our issued and outstanding Series A preferred shares, Series B preferred shares and Series B+ preferred shares</w:t>
      </w:r>
    </w:p>
    <w:p>
      <w:pPr>
        <w:spacing w:after="0" w:line="14" w:lineRule="exact"/>
        <w:rPr>
          <w:sz w:val="20"/>
          <w:szCs w:val="20"/>
          <w:color w:val="auto"/>
        </w:rPr>
      </w:pPr>
    </w:p>
    <w:p>
      <w:pPr>
        <w:ind w:left="1440" w:hanging="179"/>
        <w:spacing w:after="0" w:line="263" w:lineRule="auto"/>
        <w:rPr>
          <w:sz w:val="20"/>
          <w:szCs w:val="20"/>
          <w:color w:val="auto"/>
        </w:rPr>
      </w:pPr>
      <w:r>
        <w:rPr>
          <w:rFonts w:ascii="Times New Roman" w:cs="Times New Roman" w:eastAsia="Times New Roman" w:hAnsi="Times New Roman"/>
          <w:sz w:val="18"/>
          <w:szCs w:val="18"/>
          <w:color w:val="auto"/>
        </w:rPr>
        <w:t>Pro forma as adjusted net tangible book value per ordinary share after giving effect to the automatic conversion of all of our issued and outstanding Series A preferred shares, Series B preferred shares and Series B+ preferred shares and this offering</w:t>
      </w:r>
    </w:p>
    <w:p>
      <w:pPr>
        <w:spacing w:after="0" w:line="2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shd w:val="clear" w:color="auto" w:fill="CCEEFF"/>
        </w:rPr>
        <w:t>Amount of dilution in net tangible book value to new investors in this offering</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 ​US$28.00</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US$28.00​</w:t>
            </w:r>
          </w:p>
        </w:tc>
      </w:tr>
      <w:tr>
        <w:trPr>
          <w:trHeight w:val="26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 ​US$  3.79</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US$  3.79​</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​US$  2.98 ​  ​ US$  2.98​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 ​US$  4.78</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US$  4.78​</w:t>
            </w:r>
          </w:p>
        </w:tc>
      </w:tr>
      <w:tr>
        <w:trPr>
          <w:trHeight w:val="2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shd w:val="clear" w:color="auto" w:fill="CCEEFF"/>
              </w:rPr>
              <w:t>​ ​US$23.22</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shd w:val="clear" w:color="auto" w:fill="CCEEFF"/>
              </w:rPr>
              <w:t>​ US$23.22</w:t>
            </w:r>
            <w:r>
              <w:rPr>
                <w:rFonts w:ascii="Times New Roman" w:cs="Times New Roman" w:eastAsia="Times New Roman" w:hAnsi="Times New Roman"/>
                <w:sz w:val="18"/>
                <w:szCs w:val="18"/>
                <w:color w:val="auto"/>
              </w:rPr>
              <w:t>​</w:t>
            </w:r>
          </w:p>
        </w:tc>
      </w:tr>
    </w:tbl>
    <w:p>
      <w:pPr>
        <w:spacing w:after="0" w:line="130" w:lineRule="exact"/>
        <w:rPr>
          <w:sz w:val="20"/>
          <w:szCs w:val="20"/>
          <w:color w:val="auto"/>
        </w:rPr>
      </w:pPr>
    </w:p>
    <w:p>
      <w:pPr>
        <w:sectPr>
          <w:pgSz w:w="11900" w:h="16838" w:orient="portrait"/>
          <w:cols w:equalWidth="0" w:num="2">
            <w:col w:w="7400" w:space="80"/>
            <w:col w:w="2399"/>
          </w:cols>
          <w:pgMar w:left="580" w:top="97" w:right="1440" w:bottom="1440" w:gutter="0" w:footer="0" w:header="0"/>
          <w:type w:val="continuous"/>
        </w:sect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on a pro forma basis as of December 31, 2024 the differences between the existing shareholders and the new investors with respect to the number of Class A ordinary shares purchased from us in this offering, the total consideration paid and the average price per Class A ordinary share paid at the initial public offering price of US$28.00 per ADS, before deducting underwriting discounts and commissions and estimated offering expenses. The total number of ordinary shares does not include the Class A ordinary shares underlying the ADSs issuable upon the exercise of the over-allotment option granted to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Total Consideration</w:t>
            </w: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2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3"/>
            <w:vMerge w:val="restart"/>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7"/>
              </w:rPr>
              <w:t>Price Per</w:t>
            </w: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4"/>
            <w:vMerge w:val="restart"/>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90"/>
        </w:trPr>
        <w:tc>
          <w:tcPr>
            <w:tcW w:w="2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7"/>
              </w:rPr>
              <w:t>Ordinary shares</w:t>
            </w: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9"/>
                <w:szCs w:val="9"/>
                <w:color w:val="auto"/>
              </w:rPr>
            </w:pPr>
          </w:p>
        </w:tc>
        <w:tc>
          <w:tcPr>
            <w:tcW w:w="1140" w:type="dxa"/>
            <w:vAlign w:val="bottom"/>
            <w:gridSpan w:val="3"/>
            <w:vMerge w:val="restart"/>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36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Pr>
          <w:p>
            <w:pPr>
              <w:spacing w:after="0"/>
              <w:rPr>
                <w:sz w:val="9"/>
                <w:szCs w:val="9"/>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9"/>
                <w:szCs w:val="9"/>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80" w:type="dxa"/>
            <w:vAlign w:val="bottom"/>
          </w:tcPr>
          <w:p>
            <w:pPr>
              <w:spacing w:after="0"/>
              <w:rPr>
                <w:sz w:val="9"/>
                <w:szCs w:val="9"/>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5"/>
            <w:vMerge w:val="restart"/>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Per ADS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119"/>
        </w:trPr>
        <w:tc>
          <w:tcPr>
            <w:tcW w:w="24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32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7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2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20" w:type="dxa"/>
            <w:vAlign w:val="bottom"/>
            <w:gridSpan w:val="4"/>
            <w:vMerge w:val="restart"/>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Percent </w:t>
            </w:r>
            <w:r>
              <w:rPr>
                <w:rFonts w:ascii="Times New Roman" w:cs="Times New Roman" w:eastAsia="Times New Roman" w:hAnsi="Times New Roman"/>
                <w:sz w:val="27"/>
                <w:szCs w:val="27"/>
                <w:b w:val="1"/>
                <w:bCs w:val="1"/>
                <w:color w:val="auto"/>
                <w:vertAlign w:val="subscript"/>
              </w:rPr>
              <w:t>​</w:t>
            </w:r>
          </w:p>
        </w:tc>
        <w:tc>
          <w:tcPr>
            <w:tcW w:w="12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820" w:type="dxa"/>
            <w:vAlign w:val="bottom"/>
            <w:gridSpan w:val="5"/>
            <w:vMerge w:val="restart"/>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Percent </w:t>
            </w:r>
            <w:r>
              <w:rPr>
                <w:rFonts w:ascii="Times New Roman" w:cs="Times New Roman" w:eastAsia="Times New Roman" w:hAnsi="Times New Roman"/>
                <w:sz w:val="27"/>
                <w:szCs w:val="27"/>
                <w:b w:val="1"/>
                <w:bCs w:val="1"/>
                <w:color w:val="auto"/>
                <w:vertAlign w:val="subscript"/>
              </w:rPr>
              <w:t>​</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vMerge w:val="restart"/>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US$)</w:t>
            </w:r>
          </w:p>
        </w:tc>
        <w:tc>
          <w:tcPr>
            <w:tcW w:w="820" w:type="dxa"/>
            <w:vAlign w:val="bottom"/>
            <w:gridSpan w:val="5"/>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Existing shareholders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168,865,901</w:t>
            </w: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92.0%</w:t>
            </w:r>
          </w:p>
        </w:tc>
        <w:tc>
          <w:tcPr>
            <w:tcW w:w="120" w:type="dxa"/>
            <w:vAlign w:val="bottom"/>
            <w:tcBorders>
              <w:right w:val="single" w:sz="8" w:color="CCEEFF"/>
            </w:tcBorders>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87,529</w:t>
            </w:r>
          </w:p>
        </w:tc>
        <w:tc>
          <w:tcPr>
            <w:tcW w:w="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0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17.6%</w:t>
            </w:r>
          </w:p>
        </w:tc>
        <w:tc>
          <w:tcPr>
            <w:tcW w:w="8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0.52</w:t>
            </w:r>
          </w:p>
        </w:tc>
        <w:tc>
          <w:tcPr>
            <w:tcW w:w="80" w:type="dxa"/>
            <w:vAlign w:val="bottom"/>
            <w:tcBorders>
              <w:right w:val="single" w:sz="8" w:color="CCEEFF"/>
            </w:tcBorders>
            <w:shd w:val="clear" w:color="auto" w:fill="CCEEFF"/>
          </w:tcPr>
          <w:p>
            <w:pPr>
              <w:spacing w:after="0"/>
              <w:rPr>
                <w:sz w:val="17"/>
                <w:szCs w:val="17"/>
                <w:color w:val="auto"/>
              </w:rPr>
            </w:pPr>
          </w:p>
        </w:tc>
        <w:tc>
          <w:tcPr>
            <w:tcW w:w="3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0.52</w:t>
            </w:r>
          </w:p>
        </w:tc>
        <w:tc>
          <w:tcPr>
            <w:tcW w:w="80" w:type="dxa"/>
            <w:vAlign w:val="bottom"/>
            <w:shd w:val="clear" w:color="auto" w:fill="CCEEFF"/>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480" w:type="dxa"/>
            <w:vAlign w:val="bottom"/>
            <w:shd w:val="clear" w:color="auto" w:fill="CCEEFF"/>
          </w:tcPr>
          <w:p>
            <w:pPr>
              <w:spacing w:after="0"/>
              <w:rPr>
                <w:sz w:val="4"/>
                <w:szCs w:val="4"/>
                <w:color w:val="auto"/>
              </w:rPr>
            </w:pPr>
          </w:p>
        </w:tc>
        <w:tc>
          <w:tcPr>
            <w:tcW w:w="1100" w:type="dxa"/>
            <w:vAlign w:val="bottom"/>
            <w:gridSpan w:val="3"/>
            <w:shd w:val="clear" w:color="auto" w:fill="CCEEFF"/>
          </w:tcPr>
          <w:p>
            <w:pPr>
              <w:ind w:left="860"/>
              <w:spacing w:after="0" w:line="54" w:lineRule="exact"/>
              <w:rPr>
                <w:sz w:val="20"/>
                <w:szCs w:val="20"/>
                <w:color w:val="auto"/>
              </w:rPr>
            </w:pPr>
            <w:r>
              <w:rPr>
                <w:rFonts w:ascii="Times New Roman" w:cs="Times New Roman" w:eastAsia="Times New Roman" w:hAnsi="Times New Roman"/>
                <w:sz w:val="6"/>
                <w:szCs w:val="6"/>
                <w:color w:val="auto"/>
              </w:rPr>
              <w:t>​ ​​</w:t>
            </w:r>
          </w:p>
        </w:tc>
        <w:tc>
          <w:tcPr>
            <w:tcW w:w="84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640" w:type="dxa"/>
            <w:vAlign w:val="bottom"/>
            <w:tcBorders>
              <w:right w:val="single" w:sz="8" w:color="CCEEFF"/>
            </w:tcBorders>
            <w:gridSpan w:val="3"/>
            <w:shd w:val="clear" w:color="auto" w:fill="CCEEFF"/>
          </w:tcPr>
          <w:p>
            <w:pPr>
              <w:ind w:left="360"/>
              <w:spacing w:after="0" w:line="54" w:lineRule="exact"/>
              <w:rPr>
                <w:sz w:val="20"/>
                <w:szCs w:val="20"/>
                <w:color w:val="auto"/>
              </w:rPr>
            </w:pPr>
            <w:r>
              <w:rPr>
                <w:rFonts w:ascii="Times New Roman" w:cs="Times New Roman" w:eastAsia="Times New Roman" w:hAnsi="Times New Roman"/>
                <w:sz w:val="6"/>
                <w:szCs w:val="6"/>
                <w:color w:val="auto"/>
              </w:rPr>
              <w:t>​​ ​​</w:t>
            </w:r>
          </w:p>
        </w:tc>
        <w:tc>
          <w:tcPr>
            <w:tcW w:w="580" w:type="dxa"/>
            <w:vAlign w:val="bottom"/>
            <w:tcBorders>
              <w:right w:val="single" w:sz="8" w:color="CCEEFF"/>
            </w:tcBorders>
            <w:shd w:val="clear" w:color="auto" w:fill="CCEEFF"/>
          </w:tcPr>
          <w:p>
            <w:pPr>
              <w:spacing w:after="0"/>
              <w:rPr>
                <w:sz w:val="4"/>
                <w:szCs w:val="4"/>
                <w:color w:val="auto"/>
              </w:rPr>
            </w:pPr>
          </w:p>
        </w:tc>
        <w:tc>
          <w:tcPr>
            <w:tcW w:w="320" w:type="dxa"/>
            <w:vAlign w:val="bottom"/>
            <w:gridSpan w:val="2"/>
            <w:vMerge w:val="continue"/>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80" w:type="dxa"/>
            <w:vAlign w:val="bottom"/>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20" w:type="dxa"/>
            <w:vAlign w:val="bottom"/>
            <w:vMerge w:val="continue"/>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80" w:type="dxa"/>
            <w:vAlign w:val="bottom"/>
            <w:tcBorders>
              <w:right w:val="single" w:sz="8" w:color="CCEEFF"/>
            </w:tcBorders>
            <w:shd w:val="clear" w:color="auto" w:fill="CCEEFF"/>
          </w:tcPr>
          <w:p>
            <w:pPr>
              <w:spacing w:after="0"/>
              <w:rPr>
                <w:sz w:val="4"/>
                <w:szCs w:val="4"/>
                <w:color w:val="auto"/>
              </w:rPr>
            </w:pPr>
          </w:p>
        </w:tc>
        <w:tc>
          <w:tcPr>
            <w:tcW w:w="360" w:type="dxa"/>
            <w:vAlign w:val="bottom"/>
            <w:gridSpan w:val="3"/>
            <w:vMerge w:val="continue"/>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New investors</w:t>
            </w:r>
          </w:p>
        </w:tc>
        <w:tc>
          <w:tcPr>
            <w:tcW w:w="1100" w:type="dxa"/>
            <w:vAlign w:val="bottom"/>
            <w:gridSpan w:val="3"/>
            <w:vMerge w:val="restart"/>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14,683,991</w:t>
            </w: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2"/>
              </w:rPr>
              <w:t>411,152</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w w:val="98"/>
              </w:rPr>
              <w:t>82.4%</w:t>
            </w:r>
          </w:p>
        </w:tc>
        <w:tc>
          <w:tcPr>
            <w:tcW w:w="8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28.00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28.00</w:t>
            </w:r>
          </w:p>
        </w:tc>
        <w:tc>
          <w:tcPr>
            <w:tcW w:w="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48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640" w:type="dxa"/>
            <w:vAlign w:val="bottom"/>
            <w:gridSpan w:val="3"/>
          </w:tcPr>
          <w:p>
            <w:pPr>
              <w:ind w:left="360"/>
              <w:spacing w:after="0" w:line="54" w:lineRule="exact"/>
              <w:rPr>
                <w:sz w:val="20"/>
                <w:szCs w:val="20"/>
                <w:color w:val="auto"/>
              </w:rPr>
            </w:pPr>
            <w:r>
              <w:rPr>
                <w:rFonts w:ascii="Times New Roman" w:cs="Times New Roman" w:eastAsia="Times New Roman" w:hAnsi="Times New Roman"/>
                <w:sz w:val="6"/>
                <w:szCs w:val="6"/>
                <w:color w:val="auto"/>
              </w:rPr>
              <w:t>​​ ​​</w:t>
            </w:r>
          </w:p>
        </w:tc>
        <w:tc>
          <w:tcPr>
            <w:tcW w:w="580" w:type="dxa"/>
            <w:vAlign w:val="bottom"/>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 ​</w:t>
            </w:r>
          </w:p>
        </w:tc>
        <w:tc>
          <w:tcPr>
            <w:tcW w:w="34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Total</w:t>
            </w:r>
          </w:p>
        </w:tc>
        <w:tc>
          <w:tcPr>
            <w:tcW w:w="9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183,549,892</w:t>
            </w:r>
          </w:p>
        </w:tc>
        <w:tc>
          <w:tcPr>
            <w:tcW w:w="820" w:type="dxa"/>
            <w:vAlign w:val="bottom"/>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right w:val="single" w:sz="8" w:color="CCEEFF"/>
            </w:tcBorders>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2"/>
              </w:rPr>
              <w:t>498,681</w:t>
            </w:r>
          </w:p>
        </w:tc>
        <w:tc>
          <w:tcPr>
            <w:tcW w:w="820" w:type="dxa"/>
            <w:vAlign w:val="bottom"/>
            <w:gridSpan w:val="5"/>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7"/>
                <w:szCs w:val="17"/>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2480" w:type="dxa"/>
            <w:vAlign w:val="bottom"/>
            <w:shd w:val="clear" w:color="auto" w:fill="CCEEFF"/>
          </w:tcPr>
          <w:p>
            <w:pPr>
              <w:spacing w:after="0"/>
              <w:rPr>
                <w:sz w:val="4"/>
                <w:szCs w:val="4"/>
                <w:color w:val="auto"/>
              </w:rPr>
            </w:pPr>
          </w:p>
        </w:tc>
        <w:tc>
          <w:tcPr>
            <w:tcW w:w="1100" w:type="dxa"/>
            <w:vAlign w:val="bottom"/>
            <w:gridSpan w:val="3"/>
            <w:shd w:val="clear" w:color="auto" w:fill="CCEEFF"/>
          </w:tcPr>
          <w:p>
            <w:pPr>
              <w:ind w:left="860"/>
              <w:spacing w:after="0" w:line="54" w:lineRule="exact"/>
              <w:rPr>
                <w:sz w:val="20"/>
                <w:szCs w:val="20"/>
                <w:color w:val="auto"/>
              </w:rPr>
            </w:pPr>
            <w:r>
              <w:rPr>
                <w:rFonts w:ascii="Times New Roman" w:cs="Times New Roman" w:eastAsia="Times New Roman" w:hAnsi="Times New Roman"/>
                <w:sz w:val="6"/>
                <w:szCs w:val="6"/>
                <w:color w:val="auto"/>
              </w:rPr>
              <w:t>​ ​​</w:t>
            </w:r>
          </w:p>
        </w:tc>
        <w:tc>
          <w:tcPr>
            <w:tcW w:w="840" w:type="dxa"/>
            <w:vAlign w:val="bottom"/>
            <w:shd w:val="clear" w:color="auto" w:fill="CCEEFF"/>
          </w:tcPr>
          <w:p>
            <w:pPr>
              <w:spacing w:after="0"/>
              <w:rPr>
                <w:sz w:val="4"/>
                <w:szCs w:val="4"/>
                <w:color w:val="auto"/>
              </w:rPr>
            </w:pPr>
          </w:p>
        </w:tc>
        <w:tc>
          <w:tcPr>
            <w:tcW w:w="30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640" w:type="dxa"/>
            <w:vAlign w:val="bottom"/>
            <w:tcBorders>
              <w:right w:val="single" w:sz="8" w:color="CCEEFF"/>
            </w:tcBorders>
            <w:gridSpan w:val="3"/>
            <w:shd w:val="clear" w:color="auto" w:fill="CCEEFF"/>
          </w:tcPr>
          <w:p>
            <w:pPr>
              <w:ind w:left="360"/>
              <w:spacing w:after="0" w:line="54" w:lineRule="exact"/>
              <w:rPr>
                <w:sz w:val="20"/>
                <w:szCs w:val="20"/>
                <w:color w:val="auto"/>
              </w:rPr>
            </w:pPr>
            <w:r>
              <w:rPr>
                <w:rFonts w:ascii="Times New Roman" w:cs="Times New Roman" w:eastAsia="Times New Roman" w:hAnsi="Times New Roman"/>
                <w:sz w:val="6"/>
                <w:szCs w:val="6"/>
                <w:color w:val="auto"/>
              </w:rPr>
              <w:t>​​ ​​</w:t>
            </w:r>
          </w:p>
        </w:tc>
        <w:tc>
          <w:tcPr>
            <w:tcW w:w="580" w:type="dxa"/>
            <w:vAlign w:val="bottom"/>
            <w:tcBorders>
              <w:right w:val="single" w:sz="8" w:color="CCEEFF"/>
            </w:tcBorders>
            <w:shd w:val="clear" w:color="auto" w:fill="CCEEFF"/>
          </w:tcPr>
          <w:p>
            <w:pPr>
              <w:spacing w:after="0"/>
              <w:rPr>
                <w:sz w:val="4"/>
                <w:szCs w:val="4"/>
                <w:color w:val="auto"/>
              </w:rPr>
            </w:pPr>
          </w:p>
        </w:tc>
        <w:tc>
          <w:tcPr>
            <w:tcW w:w="320" w:type="dxa"/>
            <w:vAlign w:val="bottom"/>
            <w:gridSpan w:val="2"/>
            <w:shd w:val="clear" w:color="auto" w:fill="CCEEFF"/>
          </w:tcPr>
          <w:p>
            <w:pPr>
              <w:jc w:val="right"/>
              <w:ind w:right="40"/>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300" w:type="dxa"/>
            <w:vAlign w:val="bottom"/>
            <w:shd w:val="clear" w:color="auto" w:fill="CCEEFF"/>
          </w:tcPr>
          <w:p>
            <w:pPr>
              <w:spacing w:after="0"/>
              <w:rPr>
                <w:sz w:val="4"/>
                <w:szCs w:val="4"/>
                <w:color w:val="auto"/>
              </w:rPr>
            </w:pPr>
          </w:p>
        </w:tc>
        <w:tc>
          <w:tcPr>
            <w:tcW w:w="400" w:type="dxa"/>
            <w:vAlign w:val="bottom"/>
            <w:gridSpan w:val="4"/>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380" w:type="dxa"/>
            <w:vAlign w:val="bottom"/>
            <w:shd w:val="clear" w:color="auto" w:fill="CCEEFF"/>
          </w:tcPr>
          <w:p>
            <w:pPr>
              <w:spacing w:after="0"/>
              <w:rPr>
                <w:sz w:val="4"/>
                <w:szCs w:val="4"/>
                <w:color w:val="auto"/>
              </w:rPr>
            </w:pPr>
          </w:p>
        </w:tc>
        <w:tc>
          <w:tcPr>
            <w:tcW w:w="440" w:type="dxa"/>
            <w:vAlign w:val="bottom"/>
            <w:gridSpan w:val="4"/>
            <w:vMerge w:val="continue"/>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5514975</wp:posOffset>
            </wp:positionH>
            <wp:positionV relativeFrom="paragraph">
              <wp:posOffset>-496570</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-496570</wp:posOffset>
            </wp:positionV>
            <wp:extent cx="137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39090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pro forma information discussed above is illustrative only.</w:t>
      </w:r>
    </w:p>
    <w:p>
      <w:pPr>
        <w:spacing w:after="0" w:line="158"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discussion and tables above also assume no exercise of any stock options outstanding as of the date of this prospectus. As of the date of this prospectus, options to purchase a total of 11,092,248 Class A ordinary shares have been granted and remain outstanding under our Public Company Share Incentive Plan. See the section of this prospectus captioned “Management — Equity Incentive Plan — Public Company Share Incentive Plan.” To the extent that any of these options are exercised, there will be further dilution to new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were incorporated in the Cayman Islands in order to enjoy the following benefits:</w:t>
      </w:r>
    </w:p>
    <w:p>
      <w:pPr>
        <w:spacing w:after="0" w:line="117" w:lineRule="exact"/>
        <w:rPr>
          <w:sz w:val="20"/>
          <w:szCs w:val="20"/>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144"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 the following:</w:t>
      </w:r>
    </w:p>
    <w:p>
      <w:pPr>
        <w:spacing w:after="0" w:line="54" w:lineRule="exact"/>
        <w:rPr>
          <w:sz w:val="20"/>
          <w:szCs w:val="20"/>
          <w:color w:val="auto"/>
        </w:rPr>
      </w:pPr>
    </w:p>
    <w:p>
      <w:pPr>
        <w:ind w:left="1800" w:right="41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342"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32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 material portion of our operations are conducted in China, and a material portion of our assets are located in China. The vast majority of our directors and executive officers are nationals or residents of jurisdictions other than the United States and a substantial portion of their assets are located outside the United States. Specifically, all of our directors and executive officers named under the section headed “Management” are located in the PRC.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11"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Cogency Global Inc. is our agent upon whom process may be served in any action brought against us under the securities laws of the United States.</w:t>
      </w:r>
    </w:p>
    <w:p>
      <w:pPr>
        <w:spacing w:after="0" w:line="9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Maples and Calder (Hong Kong) LLP, our counsel as to Cayman Islands law, has advised us that there is uncertainty as to whether the courts of the Cayman Islands would:</w:t>
      </w:r>
    </w:p>
    <w:p>
      <w:pPr>
        <w:spacing w:after="0" w:line="54" w:lineRule="exact"/>
        <w:rPr>
          <w:sz w:val="20"/>
          <w:szCs w:val="20"/>
          <w:color w:val="auto"/>
        </w:rPr>
      </w:pPr>
    </w:p>
    <w:p>
      <w:pPr>
        <w:jc w:val="both"/>
        <w:ind w:left="1800" w:right="41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the Cayman Islands against us or our directors or officers predicated upon the securities laws of the United States or any state in the United States.</w:t>
      </w:r>
    </w:p>
    <w:p>
      <w:pPr>
        <w:spacing w:after="0" w:line="94"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Maples and Calder (Hong Kong) LLP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(iv) is not in respect of taxes, a fine or a penalty, and (v)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are penal or punitive in nature. A Cayman Islands court may stay enforcement proceedings if concurrent proceedings are being brought elsewhere.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PRC</w:t>
      </w:r>
    </w:p>
    <w:p>
      <w:pPr>
        <w:spacing w:after="0" w:line="162"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have been advised by King &amp; Wood Mallesons, our PRC legal counsel, that there is uncertainty as to whether the courts of the PRC would enforce judgments of United States courts or Cayman courts obtained against us or these persons predicated upon the civil liability provisions of the United States federal and state securities laws. King &amp; Wood Mallesons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principles of reciprocity between jurisdictions. China does not have any treaties or other written form of reciprocal arrangements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U.S. shareholders to establish sufficient nexus to the PRC as required under the PRC Civil Procedures Law by virtue only of holding the ADSs or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OUR HISTORY AND CORPORATE STRUCTURE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Corporate History</w:t>
      </w:r>
    </w:p>
    <w:p>
      <w:pPr>
        <w:spacing w:after="0" w:line="162" w:lineRule="exact"/>
        <w:rPr>
          <w:sz w:val="20"/>
          <w:szCs w:val="20"/>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We commenced our operations in 2017. In December 2020, Beijing Chagee Catering Management Co., Ltd., or Beijing Chagee, was established, and we currently conduct all of our business in China through Beijing Chagee and its subsidiaries. We do not use a variable interest entity structure.</w:t>
      </w:r>
    </w:p>
    <w:p>
      <w:pPr>
        <w:spacing w:after="0" w:line="115" w:lineRule="exact"/>
        <w:rPr>
          <w:sz w:val="20"/>
          <w:szCs w:val="20"/>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We incorporated Chagee Holdings Limited, an exempted company with limited liability in the Cayman Islands, as our ultimate holding company in May 2023 in anticipation of this offering and future capital raising from international investors.</w:t>
      </w:r>
    </w:p>
    <w:p>
      <w:pPr>
        <w:spacing w:after="0" w:line="101" w:lineRule="exact"/>
        <w:rPr>
          <w:sz w:val="20"/>
          <w:szCs w:val="20"/>
          <w:color w:val="auto"/>
        </w:rPr>
      </w:pPr>
    </w:p>
    <w:p>
      <w:pPr>
        <w:jc w:val="both"/>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In June 2023, we established CHAGEE HOLDINGS PTE. LTD., or Chagee Holdings Singapore, and CHAGEE INVESTMENT PTE. LTD., or Chagee Investment, under the laws of Singapore as intermediary holding companies. Chagee Holdings Singapore owns 100% of the equity interest in Chagee Investment, and Chagee Investment acquired 100% of the equity interest in Beijing Chagee through a series of transactions completed in October 2023.</w:t>
      </w:r>
    </w:p>
    <w:p>
      <w:pPr>
        <w:spacing w:after="0" w:line="105" w:lineRule="exact"/>
        <w:rPr>
          <w:sz w:val="20"/>
          <w:szCs w:val="20"/>
          <w:color w:val="auto"/>
        </w:rPr>
      </w:pPr>
    </w:p>
    <w:p>
      <w:pPr>
        <w:jc w:val="both"/>
        <w:ind w:left="1260" w:right="419" w:firstLine="360"/>
        <w:spacing w:after="0" w:line="272" w:lineRule="auto"/>
        <w:rPr>
          <w:sz w:val="20"/>
          <w:szCs w:val="20"/>
          <w:color w:val="auto"/>
        </w:rPr>
      </w:pPr>
      <w:r>
        <w:rPr>
          <w:rFonts w:ascii="Times New Roman" w:cs="Times New Roman" w:eastAsia="Times New Roman" w:hAnsi="Times New Roman"/>
          <w:sz w:val="18"/>
          <w:szCs w:val="18"/>
          <w:color w:val="auto"/>
        </w:rPr>
        <w:t>Through a series of transactions completed in December 2023, which we refer to collectively as the “Restructuring,” the then-shareholders of Beijing Chagee (or their designed affiliates) received ordinary shares, Series A and B preferred shares of Chagee Holdings Limited, as applicable, in proportion to their respective equity interests in Beijing Chagee immediately prior to the Restructuring and with substantially the same terms.</w:t>
      </w:r>
    </w:p>
    <w:p>
      <w:pPr>
        <w:spacing w:after="0" w:line="331"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In July 2023, we established CHAGEE GROUP (SEA) PTE. LTD. under the laws of Singapore, through which we operate our business in Southeast Asia. In November 2023, we established Chagee Holdings (UK) Limited under the laws of the United Kingdom, through which we intend to explore expansion opportunities in other overseas markets.</w:t>
      </w:r>
    </w:p>
    <w:p>
      <w:pPr>
        <w:spacing w:after="0" w:line="105" w:lineRule="exact"/>
        <w:rPr>
          <w:sz w:val="20"/>
          <w:szCs w:val="20"/>
          <w:color w:val="auto"/>
        </w:rPr>
      </w:pPr>
    </w:p>
    <w:p>
      <w:pPr>
        <w:jc w:val="both"/>
        <w:ind w:left="1260" w:right="419" w:firstLine="360"/>
        <w:spacing w:after="0" w:line="281" w:lineRule="auto"/>
        <w:rPr>
          <w:sz w:val="20"/>
          <w:szCs w:val="20"/>
          <w:color w:val="auto"/>
        </w:rPr>
      </w:pPr>
      <w:r>
        <w:rPr>
          <w:rFonts w:ascii="Times New Roman" w:cs="Times New Roman" w:eastAsia="Times New Roman" w:hAnsi="Times New Roman"/>
          <w:sz w:val="18"/>
          <w:szCs w:val="18"/>
          <w:color w:val="auto"/>
        </w:rPr>
        <w:t>In connection with our Series B+ financing, we issued a total of 20,374,577 Series B+ preferred shares in July and December 2023 to certain investors for an aggregate consideration of the US$ equivalent of RMB330 million. See “Description of Share Capital — History of Securities Issuances.”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Corporate Structure</w:t>
      </w:r>
    </w:p>
    <w:p>
      <w:pPr>
        <w:spacing w:after="0" w:line="162" w:lineRule="exact"/>
        <w:rPr>
          <w:sz w:val="20"/>
          <w:szCs w:val="20"/>
          <w:color w:val="auto"/>
        </w:rPr>
      </w:pPr>
    </w:p>
    <w:p>
      <w:pPr>
        <w:jc w:val="both"/>
        <w:ind w:left="1260" w:right="419" w:firstLine="360"/>
        <w:spacing w:after="0" w:line="285"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all of our significant subsidiaries within and outside of the PRC, and our shareholding structure, immediately upon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569595</wp:posOffset>
            </wp:positionV>
            <wp:extent cx="5143500" cy="384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384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i w:val="1"/>
          <w:iCs w:val="1"/>
          <w:color w:val="auto"/>
        </w:rPr>
        <w:t>Notes</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jc w:val="both"/>
        <w:ind w:left="1620" w:right="419" w:hanging="360"/>
        <w:spacing w:after="0" w:line="255"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shareholding percentage is calculated by dividing the number of ordinary shares beneficially owned by such person or group immediately upon completion of this offering by the sum of (i) 118,275,785 Class A ordinary shares and 65,274,107 Class B ordinary shares issued and outstanding immediately after the completion of this offering, including 14,683,991 Class A ordinary shares represented by 14,683,991 ADSs to be sold by us in this offering, assuming that the underwriters do not exercise their option to purchase additional ADSs, and (ii) the number of ordinary shares underlying share options held by such person or group that are exercisable within 60 days after the date of this prospectus.</w:t>
      </w:r>
    </w:p>
    <w:p>
      <w:pPr>
        <w:spacing w:after="0" w:line="256" w:lineRule="exact"/>
        <w:rPr>
          <w:sz w:val="20"/>
          <w:szCs w:val="20"/>
          <w:color w:val="auto"/>
        </w:rPr>
      </w:pPr>
    </w:p>
    <w:p>
      <w:pPr>
        <w:jc w:val="both"/>
        <w:ind w:left="1620" w:right="419" w:hanging="360"/>
        <w:spacing w:after="0" w:line="255"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 percentage is calculated by dividing the voting power beneficially owned by such person or group by the voting power of all of our ordinary shares as a single class immediately upon completion of this offering. Each holder of Class A ordinary shares is entitled to one vote per share and each holder of our Class B ordinary shares is entitled to ten (10) votes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24"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The following summary consolidated statements of operations data and summary consolidated cash flow data for the years ended December 31, 2022, 2023 and 2024 and summary consolidated balance sheet data as of December 31, 2023 and 2024 have been derived from our consolidated financial statements included elsewhere in this prospectus. 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and Operating Data section together with our consolidated financial statements and the related notes and “Management’s Discussion and Analysis of Financial Condition and Results of Operations” included elsewhere in this prospectus.</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CHAGEE is a leading premium tea drinks brand, serving healthy and delicious freshly-made tea drinks. Its creation, in 2017, was inspired by how international coffee chains have made coffee drinking both a worldwide lifestyle and a social concept since the 1970s. This success has made us believe that tea drinking needs to be transformed too — and led us to use the power of technology and brand to make tea drinking a modern-day experience that connects people and cultures around the world.</w:t>
      </w:r>
    </w:p>
    <w:p>
      <w:pPr>
        <w:spacing w:after="0" w:line="11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Today, nearly eight years after our inception and with our relentless passion for technology and pursuit of innovation, we stand out as China’s largest, fastest-growing, and most popular premium freshly-made tea drinks brand, according to iResearch:</w:t>
      </w:r>
    </w:p>
    <w:p>
      <w:pPr>
        <w:spacing w:after="0" w:line="69" w:lineRule="exact"/>
        <w:rPr>
          <w:sz w:val="20"/>
          <w:szCs w:val="20"/>
          <w:color w:val="auto"/>
        </w:rPr>
      </w:pPr>
    </w:p>
    <w:p>
      <w:pPr>
        <w:jc w:val="both"/>
        <w:ind w:left="1800" w:right="41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our network comprised 6,440 teahouses, including 6,284 located in China. This scale represents the largest store network among all premium freshly-made tea drinks brands in China.</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3"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and 2024, our total GMV generated within China and overseas reached RMB10.8 billion and RMB29.5 billion, respectively. As measured by GMV generated within China, we recorded the fastest growth from 2022 to 2024 among all freshly-made tea drinks brands with over 1,000 stores in China.</w:t>
      </w:r>
    </w:p>
    <w:p>
      <w:pPr>
        <w:spacing w:after="0" w:line="229" w:lineRule="exact"/>
        <w:rPr>
          <w:rFonts w:ascii="Times New Roman" w:cs="Times New Roman" w:eastAsia="Times New Roman" w:hAnsi="Times New Roman"/>
          <w:sz w:val="18"/>
          <w:szCs w:val="18"/>
          <w:color w:val="auto"/>
        </w:rPr>
      </w:pPr>
    </w:p>
    <w:p>
      <w:pPr>
        <w:ind w:left="1800" w:right="419" w:hanging="180"/>
        <w:spacing w:after="0" w:line="23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ranked the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on China’s social influence index among all freshly-made tea drinks brands in China since October 2023, according to the Social Touch Search Engine.</w:t>
      </w:r>
    </w:p>
    <w:p>
      <w:pPr>
        <w:spacing w:after="0" w:line="131"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Our net revenues increased by 843.8% to RMB4,640.2 million in 2023 from RMB491.7 million in 2022. In 2024, our net revenues amounted to RMB12,405.6 million (US$1,699.6 million), representing a 167.4% year-over-year increase from RMB4,640.2 million in 2023. Although we experienced a net loss of RMB90.7 million in 2022, we achieved a net income of RMB802.6 million in 2023. Our net income increased by 213.3% to RMB2,514.6 million (US$344.5 million) 2024 from RMB802.6 million in 2023. As of December 31, 2024, we recorded a working capital surplus of RMB3,141.7 million (US$430.4 million), compared to RMB1,193.3 million as of December 31, 2023.</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business and results of operations are affected by a number of general factors that impact the freshly-made tea drinks industry in China, including:</w:t>
      </w:r>
    </w:p>
    <w:p>
      <w:pPr>
        <w:spacing w:after="0" w:line="54" w:lineRule="exact"/>
        <w:rPr>
          <w:sz w:val="20"/>
          <w:szCs w:val="20"/>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China’s overall economic growth, level of urbanization and level of per capita disposable income;</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consumer expenditure, especially the expenditure on food and beverages; and</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demand and preference for tea drinks, especially for freshly-made tea drinks.</w:t>
      </w:r>
    </w:p>
    <w:p>
      <w:pPr>
        <w:spacing w:after="0" w:line="15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Unfavorable changes in any of these general conditions could materially and adversely affect our results of operations. While our business is influenced by these general factors, our results of operations are more directly affected by the following company-specific factors.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Expansion of our teahouse network</w:t>
      </w:r>
    </w:p>
    <w:p>
      <w:pPr>
        <w:spacing w:after="0" w:line="148"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The expansion of our teahouse network is a key driver of our revenue growth and operating efficiency. We have rapidly grown our teahouse network since we commenced our operations in 2017. As of December 31,</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2024, we had 6,440 CHAGEE teahouses within our teahouse network, including 6,284 in China covering 32 out of 34 province-level divisions and 156 overseas.</w:t>
      </w:r>
    </w:p>
    <w:p>
      <w:pPr>
        <w:spacing w:after="0" w:line="94"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Our expanding presence will enhance our brand image, which we believe will help attract more consumers and franchise partners, reduce consumer acquisition costs, promote brand loyalty, and in turn increase sales. Our scale enables us to gain more bargaining power over suppliers, which we believe will further lower our costs and expenses as a percentage of our net revenues.</w:t>
      </w:r>
    </w:p>
    <w:p>
      <w:pPr>
        <w:spacing w:after="0" w:line="11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On the other hand, as we continue to scale our teahouse network, we will continue to encounter challenges in implementing our managerial, operating and financial strategies to sustain our current growth rate, or achieve any growth at all. For example, as we have continued to scale and expand the scope and density of our store network across China, our store-level performance has begun to follow a normalized growth trajectory, as reflected in the decrease in average monthly GMV per teahouse in China in recent quarters and the deceleration or decline in quarterly same-store GMV growth. See “— Key Operating Data.”</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Consumer base expansion and consumer engagement</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ability to attract new consumers and retain existing consumers in a cost-effective manner is crucial to driving revenue growth and achieving higher profitability. Leveraging our strong technology capabilities, we stay connected with our consumers. We have developed a mobile mini program which provides a seamless and fun consumer purchase experience, offering both pick-up and delivery options to consumers. We also introduced our CHAGEE membership program to better engage our extensive consumer base.</w:t>
      </w:r>
    </w:p>
    <w:p>
      <w:pPr>
        <w:spacing w:after="0" w:line="116"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We have continued to invest in branding, sales and marketing to acquire and retain consumers. For the years ended December 31, 2022, 2023 and 2024, we incurred RMB73.6 million, RMB261.6 million and RMB1,108.9 million (US$151.9 million) in sales and marketing expenses, respectively, accounting for 15.0%, 5.6% and 8.9% of our net revenues of the respective periods. We also strive to provide an enjoyable consumer experience through our thoughtfully designed store space and the continuous upgrade of our products.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Efficient store operations</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have developed a comprehensive set of rigorous policies and procedures to effectively manage the rapid growth of our teahouse network. With a substantial majority of our teahouses operating under a franchise model, we have adopted a strong oversight approach to proactively manage our franchise network to ensure consistent product quality, consumer services and operating efficiency. We have also embraced digitalization to enhance our management and monitoring of our franchised teahouses. Digitalization has enabled us to gain real-time insights into teahouses’ performance and facilitated seamless communication and collaboration between our franchise partners and us.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Cost-effective supply chain management</w:t>
      </w:r>
    </w:p>
    <w:p>
      <w:pPr>
        <w:spacing w:after="0" w:line="14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High quality, efficient and integrated supply chain management provides a solid foundation for our operational efficiency and is an important factor in our financial performance. Historically, our costs have consisted primarily of cost of materials, company-owned teahouse operating costs, storage and logistics costs and other operating costs. Among these, the cost of materials related to the purchase of raw materials, packaging and equipment is the most significant component of our cost structure, representing 59.2%, 53.1% and 48.4% of our revenues in the years ended December 31, 2022, 2023 and 2024, respectively. We have established long-term collaborative relationships with high-quality suppliers to continuously reduce procurement costs and improve the profitability of raw material and packaging sales. In addition, we are continuing to strengthen our supply chain management to improve operational efficiency. For example, we have established a two-tiered warehousing system with separate centralized and regional warehouses to achieve higher efficiency and lower costs in storage and logistics.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Operating Data</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our key operating data.</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00"/>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320" w:type="dxa"/>
            <w:vAlign w:val="bottom"/>
            <w:gridSpan w:val="35"/>
          </w:tcPr>
          <w:p>
            <w:pPr>
              <w:spacing w:after="0"/>
              <w:rPr>
                <w:sz w:val="20"/>
                <w:szCs w:val="20"/>
                <w:color w:val="auto"/>
              </w:rPr>
            </w:pPr>
            <w:r>
              <w:rPr>
                <w:rFonts w:ascii="Times New Roman" w:cs="Times New Roman" w:eastAsia="Times New Roman" w:hAnsi="Times New Roman"/>
                <w:sz w:val="14"/>
                <w:szCs w:val="14"/>
                <w:b w:val="1"/>
                <w:bCs w:val="1"/>
                <w:color w:val="auto"/>
              </w:rPr>
              <w:t>​​FY2023 ​​FY2024 ​​1Q22 ​​2Q22 ​​3Q22 ​​4Q22 ​​1Q23 ​​2Q23 ​​3Q23 ​​4Q23 ​​1Q24 ​​2Q24 ​​3Q24 ​​4Q24 ​</w:t>
            </w:r>
          </w:p>
        </w:tc>
        <w:tc>
          <w:tcPr>
            <w:tcW w:w="0" w:type="dxa"/>
            <w:vAlign w:val="bottom"/>
          </w:tcPr>
          <w:p>
            <w:pPr>
              <w:spacing w:after="0"/>
              <w:rPr>
                <w:sz w:val="1"/>
                <w:szCs w:val="1"/>
                <w:color w:val="auto"/>
              </w:rPr>
            </w:pPr>
          </w:p>
        </w:tc>
      </w:tr>
      <w:tr>
        <w:trPr>
          <w:trHeight w:val="20"/>
        </w:trPr>
        <w:tc>
          <w:tcPr>
            <w:tcW w:w="19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Number of Teahouses</w:t>
            </w:r>
          </w:p>
        </w:tc>
        <w:tc>
          <w:tcPr>
            <w:tcW w:w="560" w:type="dxa"/>
            <w:vAlign w:val="bottom"/>
            <w:tcBorders>
              <w:right w:val="single" w:sz="8" w:color="CCEEFF"/>
            </w:tcBorders>
            <w:gridSpan w:val="3"/>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gridSpan w:val="3"/>
            <w:shd w:val="clear" w:color="auto" w:fill="000000"/>
          </w:tcPr>
          <w:p>
            <w:pPr>
              <w:spacing w:after="0" w:line="20" w:lineRule="exact"/>
              <w:rPr>
                <w:sz w:val="1"/>
                <w:szCs w:val="1"/>
                <w:color w:val="auto"/>
              </w:rPr>
            </w:pPr>
          </w:p>
        </w:tc>
        <w:tc>
          <w:tcPr>
            <w:tcW w:w="420" w:type="dxa"/>
            <w:vAlign w:val="bottom"/>
            <w:tcBorders>
              <w:right w:val="single" w:sz="8" w:color="CCEEFF"/>
            </w:tcBorders>
            <w:gridSpan w:val="3"/>
            <w:shd w:val="clear" w:color="auto" w:fill="000000"/>
          </w:tcPr>
          <w:p>
            <w:pPr>
              <w:spacing w:after="0" w:line="20" w:lineRule="exact"/>
              <w:rPr>
                <w:sz w:val="1"/>
                <w:szCs w:val="1"/>
                <w:color w:val="auto"/>
              </w:rPr>
            </w:pPr>
          </w:p>
        </w:tc>
        <w:tc>
          <w:tcPr>
            <w:tcW w:w="420" w:type="dxa"/>
            <w:vAlign w:val="bottom"/>
            <w:tcBorders>
              <w:right w:val="single" w:sz="8" w:color="CCEEFF"/>
            </w:tcBorders>
            <w:gridSpan w:val="3"/>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8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8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8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40" w:type="dxa"/>
            <w:vAlign w:val="bottom"/>
            <w:tcBorders>
              <w:right w:val="single" w:sz="8" w:color="CCEEFF"/>
            </w:tcBorders>
            <w:vMerge w:val="continue"/>
            <w:shd w:val="clear" w:color="auto" w:fill="CCEEFF"/>
          </w:tcPr>
          <w:p>
            <w:pPr>
              <w:spacing w:after="0"/>
              <w:rPr>
                <w:sz w:val="15"/>
                <w:szCs w:val="15"/>
                <w:color w:val="auto"/>
              </w:rPr>
            </w:pPr>
          </w:p>
        </w:tc>
        <w:tc>
          <w:tcPr>
            <w:tcW w:w="5440" w:type="dxa"/>
            <w:vAlign w:val="bottom"/>
            <w:tcBorders>
              <w:right w:val="single" w:sz="8" w:color="CCEEFF"/>
            </w:tcBorders>
            <w:gridSpan w:val="30"/>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 3,511​​​​ 6,440​​​ ​493 ​​​ ​596 ​​​ ​756 ​​​​1,087​​​1,303​​​1,913​​​2,637​​​3,511​​​4,083​​​4,996​​​5,828​​​6,440​</w:t>
            </w:r>
          </w:p>
        </w:tc>
        <w:tc>
          <w:tcPr>
            <w:tcW w:w="440" w:type="dxa"/>
            <w:vAlign w:val="bottom"/>
            <w:tcBorders>
              <w:right w:val="single" w:sz="8" w:color="CCEEFF"/>
            </w:tcBorders>
            <w:gridSpan w:val="2"/>
            <w:shd w:val="clear" w:color="auto" w:fill="CCEEFF"/>
          </w:tcPr>
          <w:p>
            <w:pPr>
              <w:spacing w:after="0"/>
              <w:rPr>
                <w:sz w:val="15"/>
                <w:szCs w:val="15"/>
                <w:color w:val="auto"/>
              </w:rPr>
            </w:pPr>
          </w:p>
        </w:tc>
        <w:tc>
          <w:tcPr>
            <w:tcW w:w="380" w:type="dxa"/>
            <w:vAlign w:val="bottom"/>
            <w:gridSpan w:val="2"/>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By operating model</w:t>
            </w: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6"/>
                <w:szCs w:val="16"/>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16"/>
                <w:szCs w:val="16"/>
                <w:color w:val="auto"/>
              </w:rPr>
            </w:pPr>
          </w:p>
        </w:tc>
        <w:tc>
          <w:tcPr>
            <w:tcW w:w="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200" w:type="dxa"/>
            <w:vAlign w:val="bottom"/>
          </w:tcPr>
          <w:p>
            <w:pPr>
              <w:spacing w:after="0"/>
              <w:rPr>
                <w:sz w:val="16"/>
                <w:szCs w:val="16"/>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w:t>
            </w:r>
          </w:p>
        </w:tc>
        <w:tc>
          <w:tcPr>
            <w:tcW w:w="200" w:type="dxa"/>
            <w:vAlign w:val="bottom"/>
          </w:tcPr>
          <w:p>
            <w:pPr>
              <w:spacing w:after="0"/>
              <w:rPr>
                <w:sz w:val="16"/>
                <w:szCs w:val="16"/>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w:t>
            </w:r>
          </w:p>
        </w:tc>
        <w:tc>
          <w:tcPr>
            <w:tcW w:w="20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9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Company-owned</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teahouses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r>
              <w:rPr>
                <w:rFonts w:ascii="Times New Roman" w:cs="Times New Roman" w:eastAsia="Times New Roman" w:hAnsi="Times New Roman"/>
                <w:sz w:val="16"/>
                <w:szCs w:val="16"/>
                <w:b w:val="1"/>
                <w:bCs w:val="1"/>
                <w:color w:val="auto"/>
              </w:rPr>
              <w:t>​</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152​​</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Franchised teahouses</w:t>
            </w:r>
          </w:p>
        </w:tc>
        <w:tc>
          <w:tcPr>
            <w:tcW w:w="6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3,472 ​​​</w:t>
            </w:r>
            <w:r>
              <w:rPr>
                <w:rFonts w:ascii="Times New Roman" w:cs="Times New Roman" w:eastAsia="Times New Roman" w:hAnsi="Times New Roman"/>
                <w:sz w:val="16"/>
                <w:szCs w:val="16"/>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6,271</w:t>
            </w:r>
          </w:p>
        </w:tc>
        <w:tc>
          <w:tcPr>
            <w:tcW w:w="4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472</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570</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728</w:t>
            </w:r>
          </w:p>
        </w:tc>
        <w:tc>
          <w:tcPr>
            <w:tcW w:w="3940" w:type="dxa"/>
            <w:vAlign w:val="bottom"/>
            <w:gridSpan w:val="19"/>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1,057​​</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1,275​​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1,880​​</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2,603​​</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3,472​​</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4,025​​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4,878​​</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5,676​​</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6,271​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By geographical region</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spacing w:after="0"/>
              <w:rPr>
                <w:sz w:val="16"/>
                <w:szCs w:val="16"/>
                <w:color w:val="auto"/>
              </w:rPr>
            </w:pP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20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w:t>
            </w:r>
          </w:p>
        </w:tc>
        <w:tc>
          <w:tcPr>
            <w:tcW w:w="20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w:t>
            </w:r>
          </w:p>
        </w:tc>
        <w:tc>
          <w:tcPr>
            <w:tcW w:w="2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Southwestern China</w:t>
            </w:r>
          </w:p>
        </w:tc>
        <w:tc>
          <w:tcPr>
            <w:tcW w:w="6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1,108 ​​​</w:t>
            </w:r>
            <w:r>
              <w:rPr>
                <w:rFonts w:ascii="Times New Roman" w:cs="Times New Roman" w:eastAsia="Times New Roman" w:hAnsi="Times New Roman"/>
                <w:sz w:val="16"/>
                <w:szCs w:val="16"/>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4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438</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494</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555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661​​</w:t>
            </w: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726​​</w:t>
            </w: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859​​</w:t>
            </w:r>
            <w:r>
              <w:rPr>
                <w:rFonts w:ascii="Times New Roman" w:cs="Times New Roman" w:eastAsia="Times New Roman" w:hAnsi="Times New Roman"/>
                <w:sz w:val="16"/>
                <w:szCs w:val="16"/>
                <w:b w:val="1"/>
                <w:bCs w:val="1"/>
                <w:color w:val="auto"/>
              </w:rPr>
              <w:t>​</w:t>
            </w:r>
          </w:p>
        </w:tc>
        <w:tc>
          <w:tcPr>
            <w:tcW w:w="2440" w:type="dxa"/>
            <w:vAlign w:val="bottom"/>
            <w:gridSpan w:val="11"/>
          </w:tcPr>
          <w:p>
            <w:pPr>
              <w:jc w:val="right"/>
              <w:spacing w:after="0"/>
              <w:rPr>
                <w:sz w:val="20"/>
                <w:szCs w:val="20"/>
                <w:color w:val="auto"/>
              </w:rPr>
            </w:pPr>
            <w:r>
              <w:rPr>
                <w:rFonts w:ascii="Times New Roman" w:cs="Times New Roman" w:eastAsia="Times New Roman" w:hAnsi="Times New Roman"/>
                <w:sz w:val="16"/>
                <w:szCs w:val="16"/>
                <w:color w:val="auto"/>
              </w:rPr>
              <w:t>972​​</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1,108​​</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1,191​​</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1,272​​</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1,303​​</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1,339​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Eastern China</w:t>
            </w:r>
          </w:p>
        </w:tc>
        <w:tc>
          <w:tcPr>
            <w:tcW w:w="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1,054 ​​​</w:t>
            </w: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r>
              <w:rPr>
                <w:rFonts w:ascii="Times New Roman" w:cs="Times New Roman" w:eastAsia="Times New Roman" w:hAnsi="Times New Roman"/>
                <w:sz w:val="16"/>
                <w:szCs w:val="16"/>
                <w:b w:val="1"/>
                <w:bCs w:val="1"/>
                <w:color w:val="auto"/>
              </w:rPr>
              <w:t>​</w:t>
            </w:r>
          </w:p>
        </w:tc>
        <w:tc>
          <w:tcPr>
            <w:tcW w:w="2440" w:type="dxa"/>
            <w:vAlign w:val="bottom"/>
            <w:gridSpan w:val="11"/>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1,054​​</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1,234​​</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1,495​​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1,763​​</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1,945​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Central China</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87​​</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113​​</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215​​</w:t>
            </w:r>
            <w:r>
              <w:rPr>
                <w:rFonts w:ascii="Times New Roman" w:cs="Times New Roman" w:eastAsia="Times New Roman" w:hAnsi="Times New Roman"/>
                <w:sz w:val="16"/>
                <w:szCs w:val="16"/>
                <w:b w:val="1"/>
                <w:bCs w:val="1"/>
                <w:color w:val="auto"/>
              </w:rPr>
              <w:t>​</w:t>
            </w:r>
          </w:p>
        </w:tc>
        <w:tc>
          <w:tcPr>
            <w:tcW w:w="128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345​​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554​​</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683​​</w:t>
            </w:r>
            <w:r>
              <w:rPr>
                <w:rFonts w:ascii="Times New Roman" w:cs="Times New Roman" w:eastAsia="Times New Roman" w:hAnsi="Times New Roman"/>
                <w:sz w:val="16"/>
                <w:szCs w:val="16"/>
                <w:b w:val="1"/>
                <w:bCs w:val="1"/>
                <w:color w:val="auto"/>
              </w:rPr>
              <w:t>​</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893​​</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1,065​​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1,178​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Southern China</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r>
              <w:rPr>
                <w:rFonts w:ascii="Times New Roman" w:cs="Times New Roman" w:eastAsia="Times New Roman" w:hAnsi="Times New Roman"/>
                <w:sz w:val="16"/>
                <w:szCs w:val="16"/>
                <w:b w:val="1"/>
                <w:bCs w:val="1"/>
                <w:color w:val="auto"/>
              </w:rPr>
              <w:t>​</w:t>
            </w:r>
          </w:p>
        </w:tc>
        <w:tc>
          <w:tcPr>
            <w:tcW w:w="1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438​​</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539​​</w:t>
            </w:r>
            <w:r>
              <w:rPr>
                <w:rFonts w:ascii="Times New Roman" w:cs="Times New Roman" w:eastAsia="Times New Roman" w:hAnsi="Times New Roman"/>
                <w:sz w:val="16"/>
                <w:szCs w:val="16"/>
                <w:b w:val="1"/>
                <w:bCs w:val="1"/>
                <w:color w:val="auto"/>
              </w:rPr>
              <w:t>​</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846​​</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953​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60"/>
              <w:spacing w:after="0" w:line="216" w:lineRule="exact"/>
              <w:rPr>
                <w:sz w:val="20"/>
                <w:szCs w:val="20"/>
                <w:color w:val="auto"/>
              </w:rPr>
            </w:pPr>
            <w:r>
              <w:rPr>
                <w:rFonts w:ascii="Times New Roman" w:cs="Times New Roman" w:eastAsia="Times New Roman" w:hAnsi="Times New Roman"/>
                <w:sz w:val="16"/>
                <w:szCs w:val="16"/>
                <w:color w:val="auto"/>
              </w:rPr>
              <w:t>Other regions in China</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w:t>
            </w:r>
            <w:r>
              <w:rPr>
                <w:rFonts w:ascii="Times New Roman" w:cs="Times New Roman" w:eastAsia="Times New Roman" w:hAnsi="Times New Roman"/>
                <w:sz w:val="16"/>
                <w:szCs w:val="16"/>
                <w:b w:val="1"/>
                <w:bCs w:val="1"/>
                <w:color w:val="auto"/>
              </w:rPr>
              <w:t>​</w:t>
            </w:r>
          </w:p>
        </w:tc>
        <w:tc>
          <w:tcPr>
            <w:tcW w:w="128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142​​</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262​​</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342​​</w:t>
            </w:r>
            <w:r>
              <w:rPr>
                <w:rFonts w:ascii="Times New Roman" w:cs="Times New Roman" w:eastAsia="Times New Roman" w:hAnsi="Times New Roman"/>
                <w:sz w:val="16"/>
                <w:szCs w:val="16"/>
                <w:b w:val="1"/>
                <w:bCs w:val="1"/>
                <w:color w:val="auto"/>
              </w:rPr>
              <w:t>​</w:t>
            </w:r>
          </w:p>
        </w:tc>
        <w:tc>
          <w:tcPr>
            <w:tcW w:w="122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color w:val="auto"/>
              </w:rPr>
              <w:t>533​​</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715​​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869​</w:t>
            </w:r>
          </w:p>
        </w:tc>
        <w:tc>
          <w:tcPr>
            <w:tcW w:w="0" w:type="dxa"/>
            <w:vAlign w:val="bottom"/>
          </w:tcPr>
          <w:p>
            <w:pPr>
              <w:spacing w:after="0"/>
              <w:rPr>
                <w:sz w:val="1"/>
                <w:szCs w:val="1"/>
                <w:color w:val="auto"/>
              </w:rPr>
            </w:pPr>
          </w:p>
        </w:tc>
      </w:tr>
      <w:tr>
        <w:trPr>
          <w:trHeight w:val="203"/>
        </w:trPr>
        <w:tc>
          <w:tcPr>
            <w:tcW w:w="19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Overseas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115​​</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w:t>
            </w: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GMV generated in</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9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China and overseas</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(RMB in</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9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million)</w:t>
            </w:r>
          </w:p>
        </w:tc>
        <w:tc>
          <w:tcPr>
            <w:tcW w:w="2520" w:type="dxa"/>
            <w:vAlign w:val="bottom"/>
            <w:gridSpan w:val="17"/>
          </w:tcPr>
          <w:p>
            <w:pPr>
              <w:spacing w:after="0"/>
              <w:rPr>
                <w:sz w:val="20"/>
                <w:szCs w:val="20"/>
                <w:color w:val="auto"/>
              </w:rPr>
            </w:pPr>
            <w:r>
              <w:rPr>
                <w:rFonts w:ascii="Times New Roman" w:cs="Times New Roman" w:eastAsia="Times New Roman" w:hAnsi="Times New Roman"/>
                <w:sz w:val="16"/>
                <w:szCs w:val="16"/>
                <w:b w:val="1"/>
                <w:bCs w:val="1"/>
                <w:color w:val="auto"/>
              </w:rPr>
              <w:t>​​​10,793​​​​29,458​​​ ​194 ​​​ ​222 ​​​ ​372 ​​​​</w:t>
            </w:r>
          </w:p>
        </w:tc>
        <w:tc>
          <w:tcPr>
            <w:tcW w:w="3800" w:type="dxa"/>
            <w:vAlign w:val="bottom"/>
            <w:gridSpan w:val="18"/>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506​​​1,052​​​1,673​​​3,213​​​4,854​​​5,962​​​7,017​​​8,301​​​8,177​</w:t>
            </w:r>
          </w:p>
        </w:tc>
        <w:tc>
          <w:tcPr>
            <w:tcW w:w="0" w:type="dxa"/>
            <w:vAlign w:val="bottom"/>
          </w:tcPr>
          <w:p>
            <w:pPr>
              <w:spacing w:after="0"/>
              <w:rPr>
                <w:sz w:val="1"/>
                <w:szCs w:val="1"/>
                <w:color w:val="auto"/>
              </w:rPr>
            </w:pPr>
          </w:p>
        </w:tc>
      </w:tr>
      <w:tr>
        <w:trPr>
          <w:trHeight w:val="214"/>
        </w:trPr>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Average monthly GMV per</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9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teahouse in China (RMB</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9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in thousand)</w:t>
            </w:r>
            <w:r>
              <w:rPr>
                <w:rFonts w:ascii="Times New Roman" w:cs="Times New Roman" w:eastAsia="Times New Roman" w:hAnsi="Times New Roman"/>
                <w:sz w:val="19"/>
                <w:szCs w:val="19"/>
                <w:b w:val="1"/>
                <w:bCs w:val="1"/>
                <w:color w:val="auto"/>
                <w:vertAlign w:val="superscript"/>
              </w:rPr>
              <w:t>(2)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483​​​​</w:t>
            </w:r>
          </w:p>
        </w:tc>
        <w:tc>
          <w:tcPr>
            <w:tcW w:w="1880" w:type="dxa"/>
            <w:vAlign w:val="bottom"/>
            <w:gridSpan w:val="1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512​​​ ​140 ​​​ ​134 ​​​ ​193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333​​​</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365​​​</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549​​​</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538​​​</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528​​​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Southwestern China</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4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141</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130</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180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w:t>
            </w: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258​​</w:t>
            </w: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258​​</w:t>
            </w:r>
            <w:r>
              <w:rPr>
                <w:rFonts w:ascii="Times New Roman" w:cs="Times New Roman" w:eastAsia="Times New Roman" w:hAnsi="Times New Roman"/>
                <w:sz w:val="16"/>
                <w:szCs w:val="16"/>
                <w:b w:val="1"/>
                <w:bCs w:val="1"/>
                <w:color w:val="auto"/>
              </w:rPr>
              <w:t>​</w:t>
            </w:r>
          </w:p>
        </w:tc>
        <w:tc>
          <w:tcPr>
            <w:tcW w:w="128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354​​</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380​​</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402​​</w:t>
            </w:r>
            <w:r>
              <w:rPr>
                <w:rFonts w:ascii="Times New Roman" w:cs="Times New Roman" w:eastAsia="Times New Roman" w:hAnsi="Times New Roman"/>
                <w:sz w:val="16"/>
                <w:szCs w:val="16"/>
                <w:b w:val="1"/>
                <w:bCs w:val="1"/>
                <w:color w:val="auto"/>
              </w:rPr>
              <w:t>​</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403​​</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421​​</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380​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Eastern China</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100</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235</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344</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r>
              <w:rPr>
                <w:rFonts w:ascii="Times New Roman" w:cs="Times New Roman" w:eastAsia="Times New Roman" w:hAnsi="Times New Roman"/>
                <w:sz w:val="16"/>
                <w:szCs w:val="16"/>
                <w:b w:val="1"/>
                <w:bCs w:val="1"/>
                <w:color w:val="auto"/>
              </w:rPr>
              <w:t>​</w:t>
            </w:r>
          </w:p>
        </w:tc>
        <w:tc>
          <w:tcPr>
            <w:tcW w:w="1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694​​</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618​​</w:t>
            </w:r>
            <w:r>
              <w:rPr>
                <w:rFonts w:ascii="Times New Roman" w:cs="Times New Roman" w:eastAsia="Times New Roman" w:hAnsi="Times New Roman"/>
                <w:sz w:val="16"/>
                <w:szCs w:val="16"/>
                <w:b w:val="1"/>
                <w:bCs w:val="1"/>
                <w:color w:val="auto"/>
              </w:rPr>
              <w:t>​</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566​​</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Central China</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215</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198</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w:t>
            </w: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280​​</w:t>
            </w: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307​​</w:t>
            </w:r>
            <w:r>
              <w:rPr>
                <w:rFonts w:ascii="Times New Roman" w:cs="Times New Roman" w:eastAsia="Times New Roman" w:hAnsi="Times New Roman"/>
                <w:sz w:val="16"/>
                <w:szCs w:val="16"/>
                <w:b w:val="1"/>
                <w:bCs w:val="1"/>
                <w:color w:val="auto"/>
              </w:rPr>
              <w:t>​</w:t>
            </w:r>
          </w:p>
        </w:tc>
        <w:tc>
          <w:tcPr>
            <w:tcW w:w="128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448​​</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478​​</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445​​</w:t>
            </w:r>
            <w:r>
              <w:rPr>
                <w:rFonts w:ascii="Times New Roman" w:cs="Times New Roman" w:eastAsia="Times New Roman" w:hAnsi="Times New Roman"/>
                <w:sz w:val="16"/>
                <w:szCs w:val="16"/>
                <w:b w:val="1"/>
                <w:bCs w:val="1"/>
                <w:color w:val="auto"/>
              </w:rPr>
              <w:t>​</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422​​</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426​​</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365​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Southern China</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103</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166</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235</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r>
              <w:rPr>
                <w:rFonts w:ascii="Times New Roman" w:cs="Times New Roman" w:eastAsia="Times New Roman" w:hAnsi="Times New Roman"/>
                <w:sz w:val="16"/>
                <w:szCs w:val="16"/>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r>
              <w:rPr>
                <w:rFonts w:ascii="Times New Roman" w:cs="Times New Roman" w:eastAsia="Times New Roman" w:hAnsi="Times New Roman"/>
                <w:sz w:val="16"/>
                <w:szCs w:val="16"/>
                <w:b w:val="1"/>
                <w:bCs w:val="1"/>
                <w:color w:val="auto"/>
              </w:rPr>
              <w:t>​</w:t>
            </w:r>
          </w:p>
        </w:tc>
        <w:tc>
          <w:tcPr>
            <w:tcW w:w="1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820​​</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750​​</w:t>
            </w:r>
            <w:r>
              <w:rPr>
                <w:rFonts w:ascii="Times New Roman" w:cs="Times New Roman" w:eastAsia="Times New Roman" w:hAnsi="Times New Roman"/>
                <w:sz w:val="16"/>
                <w:szCs w:val="16"/>
                <w:b w:val="1"/>
                <w:bCs w:val="1"/>
                <w:color w:val="auto"/>
              </w:rPr>
              <w:t>​</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705​​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606​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60"/>
              <w:spacing w:after="0" w:line="216" w:lineRule="exact"/>
              <w:rPr>
                <w:sz w:val="20"/>
                <w:szCs w:val="20"/>
                <w:color w:val="auto"/>
              </w:rPr>
            </w:pPr>
            <w:r>
              <w:rPr>
                <w:rFonts w:ascii="Times New Roman" w:cs="Times New Roman" w:eastAsia="Times New Roman" w:hAnsi="Times New Roman"/>
                <w:sz w:val="16"/>
                <w:szCs w:val="16"/>
                <w:color w:val="auto"/>
              </w:rPr>
              <w:t>Other regions in China</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562​​</w:t>
            </w: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784​​</w:t>
            </w: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801​​</w:t>
            </w: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688​​</w:t>
            </w: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652​​</w:t>
            </w: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599​​</w:t>
            </w:r>
            <w:r>
              <w:rPr>
                <w:rFonts w:ascii="Times New Roman" w:cs="Times New Roman" w:eastAsia="Times New Roman" w:hAnsi="Times New Roman"/>
                <w:sz w:val="16"/>
                <w:szCs w:val="16"/>
                <w:b w:val="1"/>
                <w:bCs w:val="1"/>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210"/>
        </w:trPr>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Same store GMV growth in</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w w:val="97"/>
              </w:rPr>
              <w:t>China and overseas (%)</w:t>
            </w:r>
            <w:r>
              <w:rPr>
                <w:rFonts w:ascii="Times New Roman" w:cs="Times New Roman" w:eastAsia="Times New Roman" w:hAnsi="Times New Roman"/>
                <w:sz w:val="19"/>
                <w:szCs w:val="19"/>
                <w:b w:val="1"/>
                <w:bCs w:val="1"/>
                <w:color w:val="auto"/>
                <w:w w:val="97"/>
                <w:vertAlign w:val="superscript"/>
              </w:rPr>
              <w:t>(3)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94.9​​​​</w:t>
            </w:r>
          </w:p>
        </w:tc>
        <w:tc>
          <w:tcPr>
            <w:tcW w:w="1880" w:type="dxa"/>
            <w:vAlign w:val="bottom"/>
            <w:gridSpan w:val="1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2.7​​​ ​ — ​​​ ​ — ​​​ ​ — ​​​​</w:t>
            </w:r>
          </w:p>
        </w:tc>
        <w:tc>
          <w:tcPr>
            <w:tcW w:w="3020" w:type="dxa"/>
            <w:vAlign w:val="bottom"/>
            <w:gridSpan w:val="1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 50.3​​​ 66.6​​​ 70.4​​​156.9​​​ 46.0​​​ 38.0​​​</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Southwestern China</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3440" w:type="dxa"/>
            <w:vAlign w:val="bottom"/>
            <w:gridSpan w:val="16"/>
          </w:tcPr>
          <w:p>
            <w:pPr>
              <w:jc w:val="right"/>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56.1​​</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68.0​​</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67.4​​</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120.0​​</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47.7​​</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49.0​​</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15.2​​</w:t>
            </w:r>
            <w:r>
              <w:rPr>
                <w:rFonts w:ascii="Times New Roman" w:cs="Times New Roman" w:eastAsia="Times New Roman" w:hAnsi="Times New Roman"/>
                <w:sz w:val="16"/>
                <w:szCs w:val="16"/>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Eastern China</w:t>
            </w:r>
          </w:p>
        </w:tc>
        <w:tc>
          <w:tcPr>
            <w:tcW w:w="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182.8 ​​​</w:t>
            </w:r>
            <w:r>
              <w:rPr>
                <w:rFonts w:ascii="Times New Roman" w:cs="Times New Roman" w:eastAsia="Times New Roman" w:hAnsi="Times New Roman"/>
                <w:sz w:val="16"/>
                <w:szCs w:val="16"/>
                <w:b w:val="1"/>
                <w:bCs w:val="1"/>
                <w:color w:val="auto"/>
              </w:rPr>
              <w:t>​</w:t>
            </w:r>
          </w:p>
        </w:tc>
        <w:tc>
          <w:tcPr>
            <w:tcW w:w="6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(9.6)​​​ </w:t>
            </w:r>
            <w:r>
              <w:rPr>
                <w:rFonts w:ascii="Times New Roman" w:cs="Times New Roman" w:eastAsia="Times New Roman" w:hAnsi="Times New Roman"/>
                <w:sz w:val="16"/>
                <w:szCs w:val="16"/>
                <w:b w:val="1"/>
                <w:bCs w:val="1"/>
                <w:color w:val="auto"/>
              </w:rPr>
              <w:t>​</w:t>
            </w: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3740" w:type="dxa"/>
            <w:vAlign w:val="bottom"/>
            <w:gridSpan w:val="17"/>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196.8​​</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178.5​​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96.3​​</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229.4​​</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28.5​​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17.0​​</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(10.3​​)</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Central China</w:t>
            </w:r>
          </w:p>
        </w:tc>
        <w:tc>
          <w:tcPr>
            <w:tcW w:w="6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292.5 ​​​</w:t>
            </w:r>
            <w:r>
              <w:rPr>
                <w:rFonts w:ascii="Times New Roman" w:cs="Times New Roman" w:eastAsia="Times New Roman" w:hAnsi="Times New Roman"/>
                <w:sz w:val="16"/>
                <w:szCs w:val="16"/>
                <w:b w:val="1"/>
                <w:bCs w:val="1"/>
                <w:color w:val="auto"/>
              </w:rPr>
              <w:t>​</w:t>
            </w: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b w:val="1"/>
                <w:bCs w:val="1"/>
                <w:color w:val="auto"/>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2600" w:type="dxa"/>
            <w:vAlign w:val="bottom"/>
            <w:gridSpan w:val="12"/>
          </w:tcPr>
          <w:p>
            <w:pPr>
              <w:jc w:val="right"/>
              <w:ind w:righ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90.5​​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146.9​​</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506.6​​</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65.4​​</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47.5​​</w:t>
            </w:r>
            <w:r>
              <w:rPr>
                <w:rFonts w:ascii="Times New Roman" w:cs="Times New Roman" w:eastAsia="Times New Roman" w:hAnsi="Times New Roman"/>
                <w:sz w:val="16"/>
                <w:szCs w:val="16"/>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Southern China</w:t>
            </w:r>
          </w:p>
        </w:tc>
        <w:tc>
          <w:tcPr>
            <w:tcW w:w="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270.6 ​​​</w:t>
            </w: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3020" w:type="dxa"/>
            <w:vAlign w:val="bottom"/>
            <w:gridSpan w:val="1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140.4​​</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144.5​​</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164.7​​</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404.1​​</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115.9​​</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75.3​​</w:t>
            </w:r>
            <w:r>
              <w:rPr>
                <w:rFonts w:ascii="Times New Roman" w:cs="Times New Roman" w:eastAsia="Times New Roman" w:hAnsi="Times New Roman"/>
                <w:sz w:val="16"/>
                <w:szCs w:val="16"/>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60"/>
              <w:spacing w:after="0" w:line="216" w:lineRule="exact"/>
              <w:rPr>
                <w:sz w:val="20"/>
                <w:szCs w:val="20"/>
                <w:color w:val="auto"/>
              </w:rPr>
            </w:pPr>
            <w:r>
              <w:rPr>
                <w:rFonts w:ascii="Times New Roman" w:cs="Times New Roman" w:eastAsia="Times New Roman" w:hAnsi="Times New Roman"/>
                <w:sz w:val="16"/>
                <w:szCs w:val="16"/>
                <w:color w:val="auto"/>
              </w:rPr>
              <w:t>Other regions in China</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(26.3)​​​ </w:t>
            </w:r>
            <w:r>
              <w:rPr>
                <w:rFonts w:ascii="Times New Roman" w:cs="Times New Roman" w:eastAsia="Times New Roman" w:hAnsi="Times New Roman"/>
                <w:sz w:val="16"/>
                <w:szCs w:val="16"/>
                <w:b w:val="1"/>
                <w:bCs w:val="1"/>
                <w:color w:val="auto"/>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1640" w:type="dxa"/>
            <w:vAlign w:val="bottom"/>
            <w:gridSpan w:val="8"/>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20.3​​</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(17.7​​)</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03"/>
        </w:trPr>
        <w:tc>
          <w:tcPr>
            <w:tcW w:w="19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Overseas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15.2​​</w:t>
            </w:r>
            <w:r>
              <w:rPr>
                <w:rFonts w:ascii="Times New Roman" w:cs="Times New Roman" w:eastAsia="Times New Roman" w:hAnsi="Times New Roman"/>
                <w:sz w:val="16"/>
                <w:szCs w:val="16"/>
                <w:b w:val="1"/>
                <w:bCs w:val="1"/>
                <w:color w:val="auto"/>
              </w:rPr>
              <w:t>​</w:t>
            </w:r>
          </w:p>
        </w:tc>
        <w:tc>
          <w:tcPr>
            <w:tcW w:w="2140" w:type="dxa"/>
            <w:vAlign w:val="bottom"/>
            <w:gridSpan w:val="10"/>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70.6​​</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49.8​​</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60.0​​</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57.6​​</w:t>
            </w: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5728970</wp:posOffset>
            </wp:positionH>
            <wp:positionV relativeFrom="paragraph">
              <wp:posOffset>-4131310</wp:posOffset>
            </wp:positionV>
            <wp:extent cx="342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-4131310</wp:posOffset>
            </wp:positionV>
            <wp:extent cx="342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-4131310</wp:posOffset>
            </wp:positionV>
            <wp:extent cx="342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-4131310</wp:posOffset>
            </wp:positionV>
            <wp:extent cx="342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-4131310</wp:posOffset>
            </wp:positionV>
            <wp:extent cx="342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-4131310</wp:posOffset>
            </wp:positionV>
            <wp:extent cx="342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-4131310</wp:posOffset>
            </wp:positionV>
            <wp:extent cx="342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-4131310</wp:posOffset>
            </wp:positionV>
            <wp:extent cx="342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-4131310</wp:posOffset>
            </wp:positionV>
            <wp:extent cx="342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-4131310</wp:posOffset>
            </wp:positionV>
            <wp:extent cx="342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3002915</wp:posOffset>
            </wp:positionH>
            <wp:positionV relativeFrom="paragraph">
              <wp:posOffset>-4131310</wp:posOffset>
            </wp:positionV>
            <wp:extent cx="342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-4131310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-4131310</wp:posOffset>
            </wp:positionV>
            <wp:extent cx="15855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8559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Notes:</w:t>
      </w:r>
    </w:p>
    <w:p>
      <w:pPr>
        <w:spacing w:after="0" w:line="86" w:lineRule="exact"/>
        <w:rPr>
          <w:sz w:val="20"/>
          <w:szCs w:val="20"/>
          <w:color w:val="auto"/>
        </w:rPr>
      </w:pPr>
    </w:p>
    <w:p>
      <w:pPr>
        <w:ind w:left="1620" w:right="419" w:hanging="360"/>
        <w:spacing w:after="0" w:line="271" w:lineRule="auto"/>
        <w:tabs>
          <w:tab w:leader="none" w:pos="16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Refers to other regions in China except Southwestern China, Eastern China, Central China and Southern China, including Hong Kong.</w:t>
      </w:r>
    </w:p>
    <w:p>
      <w:pPr>
        <w:spacing w:after="0" w:line="250" w:lineRule="exact"/>
        <w:rPr>
          <w:rFonts w:ascii="Times New Roman" w:cs="Times New Roman" w:eastAsia="Times New Roman" w:hAnsi="Times New Roman"/>
          <w:sz w:val="14"/>
          <w:szCs w:val="14"/>
          <w:color w:val="auto"/>
        </w:rPr>
      </w:pPr>
    </w:p>
    <w:p>
      <w:pPr>
        <w:jc w:val="both"/>
        <w:ind w:left="1620" w:right="419" w:hanging="360"/>
        <w:spacing w:after="0" w:line="279" w:lineRule="auto"/>
        <w:tabs>
          <w:tab w:leader="none" w:pos="16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quarter within a given year, the average monthly GMV per teahouse is calculated by dividing (i) the sum of GMV generated by the monthly fully operational teahouses in each calendar month during that specific quarter by (ii) the sum of the total number of monthly fully operational teahouses in each calendar month during that specific quarter. Unlike other operating metrics outlined in the table above, the computation and presentation of average monthly GMV per teahouse exclude overseas teahouses.</w:t>
      </w:r>
    </w:p>
    <w:p>
      <w:pPr>
        <w:spacing w:after="0" w:line="209" w:lineRule="exact"/>
        <w:rPr>
          <w:rFonts w:ascii="Times New Roman" w:cs="Times New Roman" w:eastAsia="Times New Roman" w:hAnsi="Times New Roman"/>
          <w:sz w:val="14"/>
          <w:szCs w:val="14"/>
          <w:color w:val="auto"/>
        </w:rPr>
      </w:pPr>
    </w:p>
    <w:p>
      <w:pPr>
        <w:jc w:val="both"/>
        <w:ind w:left="1620" w:right="419" w:hanging="360"/>
        <w:spacing w:after="0" w:line="281" w:lineRule="auto"/>
        <w:tabs>
          <w:tab w:leader="none" w:pos="16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quarter within a given year, the term ‘‘same store GMV growth” refers to the growth rate of GMV generated by ‘‘same stores” in China and/or overseas during that specific quarter compared to GMV generated by these ‘‘same stores” during the corresponding quarter in the preceding year. We define ‘‘same stores” to be teahouses that (i) had been in operation for at least 13 months, and (ii) without material operational changes in both comparison periods.</w:t>
      </w:r>
    </w:p>
    <w:p>
      <w:pPr>
        <w:spacing w:after="0" w:line="101"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overall operating scale and results of our teahouse network have significantly expanded since 2022, as measured by the substantial increases in both the number of teahouses and the total GMV generated by these teahouses. During the early stage of our expansion, where our teahouse penetration was relatively low and the supply was limited, the high demand from consumers contributed to strong store-level performance of our teahouses. As we continued to scale and expand the scope and density of our teahouse network across China, the consumer demands have been better fulfilled while our store-level performance has also naturally begun to follow a normalized growth trajectory, as reflected in the decrease in average monthly GMV per teahouse in China in recent quarters and the deceleration in quarterly same-store GMV growth or decline. Specifically, our average monthly GMV per teahouse in China decreased over the last four quarters from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RMB574 thousand in the last quarter of 2023 to RMB456 thousand in the last quarter of 2024. The growth rate for same-store GMV in China and overseas was 2.7% in 2024, compared to 94.9% in 2023. For additional information, see “Risk Factors — Risks Relating to Our Business and Industry — If we are unable to successfully manage our growth or if our growth rate declines, our business and prospects may be materially and adversely affected.”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have a broad and growing network of franchised teahouses and company-owned teahouses across China and multiple overseas locations. We generate revenues mainly from amounts received from our franchised teahouses for sales of products and services under our franchise arrangements, and to a lesser extent, sales of freshly-made tea drinks directly to consumers by our company-owned teahouses.</w:t>
      </w:r>
    </w:p>
    <w:p>
      <w:pPr>
        <w:spacing w:after="0" w:line="11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breakdown of our net revenues, in absolute amounts and as percentages of total revenue, for the periods indicated.</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9"/>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20"/>
                <w:szCs w:val="20"/>
                <w:color w:val="auto"/>
              </w:rPr>
            </w:pP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7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4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27"/>
                <w:szCs w:val="27"/>
                <w:b w:val="1"/>
                <w:bCs w:val="1"/>
                <w:color w:val="auto"/>
                <w:vertAlign w:val="subscript"/>
              </w:rPr>
              <w:t>​​</w:t>
            </w:r>
          </w:p>
        </w:tc>
        <w:tc>
          <w:tcPr>
            <w:tcW w:w="520" w:type="dxa"/>
            <w:vAlign w:val="bottom"/>
            <w:gridSpan w:val="3"/>
          </w:tcPr>
          <w:p>
            <w:pPr>
              <w:jc w:val="right"/>
              <w:ind w:right="28"/>
              <w:spacing w:after="0" w:line="236" w:lineRule="exact"/>
              <w:rPr>
                <w:sz w:val="20"/>
                <w:szCs w:val="20"/>
                <w:color w:val="auto"/>
              </w:rPr>
            </w:pP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4"/>
                <w:szCs w:val="14"/>
                <w:b w:val="1"/>
                <w:bCs w:val="1"/>
                <w:color w:val="auto"/>
              </w:rPr>
              <w:t xml:space="preserve">  ​​</w:t>
            </w:r>
          </w:p>
        </w:tc>
        <w:tc>
          <w:tcPr>
            <w:tcW w:w="72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27"/>
                <w:szCs w:val="27"/>
                <w:b w:val="1"/>
                <w:bCs w:val="1"/>
                <w:color w:val="auto"/>
                <w:vertAlign w:val="subscript"/>
              </w:rPr>
              <w:t>​​</w:t>
            </w:r>
          </w:p>
        </w:tc>
        <w:tc>
          <w:tcPr>
            <w:tcW w:w="540" w:type="dxa"/>
            <w:vAlign w:val="bottom"/>
            <w:gridSpan w:val="3"/>
          </w:tcPr>
          <w:p>
            <w:pPr>
              <w:jc w:val="right"/>
              <w:ind w:right="1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4"/>
                <w:szCs w:val="14"/>
                <w:b w:val="1"/>
                <w:bCs w:val="1"/>
                <w:color w:val="auto"/>
              </w:rPr>
              <w:t xml:space="preserve">  ​​</w:t>
            </w:r>
          </w:p>
        </w:tc>
        <w:tc>
          <w:tcPr>
            <w:tcW w:w="6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RMB</w:t>
            </w:r>
          </w:p>
        </w:tc>
        <w:tc>
          <w:tcPr>
            <w:tcW w:w="76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4"/>
                <w:szCs w:val="14"/>
                <w:b w:val="1"/>
                <w:bCs w:val="1"/>
                <w:color w:val="auto"/>
              </w:rPr>
              <w:t xml:space="preserve">  ​</w:t>
            </w:r>
          </w:p>
        </w:tc>
      </w:tr>
      <w:tr>
        <w:trPr>
          <w:trHeight w:val="237"/>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gridSpan w:val="10"/>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(in thousands, except for percentages)</w:t>
            </w: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8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Franchised teahouses</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4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300" w:type="dxa"/>
            <w:vAlign w:val="bottom"/>
          </w:tcPr>
          <w:p>
            <w:pPr>
              <w:spacing w:after="0"/>
              <w:rPr>
                <w:sz w:val="21"/>
                <w:szCs w:val="21"/>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600" w:type="dxa"/>
            <w:vAlign w:val="bottom"/>
          </w:tcPr>
          <w:p>
            <w:pPr>
              <w:spacing w:after="0"/>
              <w:rPr>
                <w:sz w:val="21"/>
                <w:szCs w:val="21"/>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2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Sales of products</w:t>
            </w:r>
          </w:p>
        </w:tc>
        <w:tc>
          <w:tcPr>
            <w:tcW w:w="8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​​​389,656​​​​</w:t>
            </w:r>
          </w:p>
        </w:tc>
        <w:tc>
          <w:tcPr>
            <w:tcW w:w="124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79.3​​​​4,148,198​​​​</w:t>
            </w:r>
          </w:p>
        </w:tc>
        <w:tc>
          <w:tcPr>
            <w:tcW w:w="238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89.4​​​​10,788,976​​​​1,478,084​​​​ 86.9</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3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Raw materials and packaging</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​​​349,444​​​​</w:t>
            </w: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71.1​​​​3,585,139​​​​</w:t>
            </w:r>
          </w:p>
        </w:tc>
        <w:tc>
          <w:tcPr>
            <w:tcW w:w="2420" w:type="dxa"/>
            <w:vAlign w:val="bottom"/>
            <w:gridSpan w:val="10"/>
          </w:tcPr>
          <w:p>
            <w:pPr>
              <w:jc w:val="right"/>
              <w:spacing w:after="0"/>
              <w:rPr>
                <w:sz w:val="20"/>
                <w:szCs w:val="20"/>
                <w:color w:val="auto"/>
              </w:rPr>
            </w:pPr>
            <w:r>
              <w:rPr>
                <w:rFonts w:ascii="Times New Roman" w:cs="Times New Roman" w:eastAsia="Times New Roman" w:hAnsi="Times New Roman"/>
                <w:sz w:val="16"/>
                <w:szCs w:val="16"/>
                <w:color w:val="auto"/>
              </w:rPr>
              <w:t>77.3​​​​ 9,890,969​​​​1,355,057​​​​ 79.7​</w:t>
            </w:r>
          </w:p>
        </w:tc>
      </w:tr>
      <w:tr>
        <w:trPr>
          <w:trHeight w:val="243"/>
        </w:trPr>
        <w:tc>
          <w:tcPr>
            <w:tcW w:w="3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Teahouse equipment and other supplies</w:t>
            </w:r>
          </w:p>
        </w:tc>
        <w:tc>
          <w:tcPr>
            <w:tcW w:w="8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40,212​​​​</w:t>
            </w:r>
          </w:p>
        </w:tc>
        <w:tc>
          <w:tcPr>
            <w:tcW w:w="124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563,059​​​​</w:t>
            </w: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12.1​​​​</w:t>
            </w:r>
          </w:p>
        </w:tc>
        <w:tc>
          <w:tcPr>
            <w:tcW w:w="15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898,007​​​​ 123,027​​​​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3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Franchising and other services</w:t>
            </w:r>
          </w:p>
        </w:tc>
        <w:tc>
          <w:tcPr>
            <w:tcW w:w="82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20,605</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1240" w:type="dxa"/>
            <w:vAlign w:val="bottom"/>
            <w:gridSpan w:val="5"/>
          </w:tcPr>
          <w:p>
            <w:pPr>
              <w:jc w:val="right"/>
              <w:spacing w:after="0" w:line="256" w:lineRule="exact"/>
              <w:rPr>
                <w:sz w:val="20"/>
                <w:szCs w:val="20"/>
                <w:color w:val="auto"/>
              </w:rPr>
            </w:pPr>
            <w:r>
              <w:rPr>
                <w:rFonts w:ascii="Times New Roman" w:cs="Times New Roman" w:eastAsia="Times New Roman" w:hAnsi="Times New Roman"/>
                <w:sz w:val="15"/>
                <w:szCs w:val="15"/>
                <w:color w:val="auto"/>
              </w:rPr>
              <w:t>4.2</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247,710</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540" w:type="dxa"/>
            <w:vAlign w:val="bottom"/>
            <w:gridSpan w:val="3"/>
          </w:tcPr>
          <w:p>
            <w:pPr>
              <w:jc w:val="right"/>
              <w:ind w:right="60"/>
              <w:spacing w:after="0" w:line="256" w:lineRule="exact"/>
              <w:rPr>
                <w:sz w:val="20"/>
                <w:szCs w:val="20"/>
                <w:color w:val="auto"/>
              </w:rPr>
            </w:pPr>
            <w:r>
              <w:rPr>
                <w:rFonts w:ascii="Times New Roman" w:cs="Times New Roman" w:eastAsia="Times New Roman" w:hAnsi="Times New Roman"/>
                <w:sz w:val="29"/>
                <w:szCs w:val="29"/>
                <w:color w:val="auto"/>
                <w:vertAlign w:val="superscript"/>
              </w:rPr>
              <w:t>5.3</w:t>
            </w: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perscript"/>
              </w:rPr>
              <w:t>​</w:t>
            </w:r>
          </w:p>
        </w:tc>
        <w:tc>
          <w:tcPr>
            <w:tcW w:w="1560" w:type="dxa"/>
            <w:vAlign w:val="bottom"/>
            <w:gridSpan w:val="5"/>
          </w:tcPr>
          <w:p>
            <w:pPr>
              <w:jc w:val="right"/>
              <w:ind w:right="40"/>
              <w:spacing w:after="0" w:line="256" w:lineRule="exact"/>
              <w:rPr>
                <w:sz w:val="20"/>
                <w:szCs w:val="20"/>
                <w:color w:val="auto"/>
              </w:rPr>
            </w:pPr>
            <w:r>
              <w:rPr>
                <w:rFonts w:ascii="Times New Roman" w:cs="Times New Roman" w:eastAsia="Times New Roman" w:hAnsi="Times New Roman"/>
                <w:sz w:val="15"/>
                <w:szCs w:val="15"/>
                <w:color w:val="auto"/>
              </w:rPr>
              <w:t>843,398</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115,545</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3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5"/>
                <w:szCs w:val="15"/>
                <w:color w:val="auto"/>
              </w:rPr>
              <w:t>6.9</w:t>
            </w:r>
            <w:r>
              <w:rPr>
                <w:rFonts w:ascii="Times New Roman" w:cs="Times New Roman" w:eastAsia="Times New Roman" w:hAnsi="Times New Roman"/>
                <w:sz w:val="29"/>
                <w:szCs w:val="29"/>
                <w:color w:val="auto"/>
                <w:vertAlign w:val="subscript"/>
              </w:rPr>
              <w:t>​</w:t>
            </w:r>
          </w:p>
        </w:tc>
      </w:tr>
      <w:tr>
        <w:trPr>
          <w:trHeight w:val="20"/>
        </w:trPr>
        <w:tc>
          <w:tcPr>
            <w:tcW w:w="37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Subtotal</w:t>
            </w:r>
          </w:p>
        </w:tc>
        <w:tc>
          <w:tcPr>
            <w:tcW w:w="820" w:type="dxa"/>
            <w:vAlign w:val="bottom"/>
            <w:tcBorders>
              <w:right w:val="single" w:sz="8" w:color="CCEEFF"/>
            </w:tcBorders>
            <w:gridSpan w:val="3"/>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​410,261</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1240" w:type="dxa"/>
            <w:vAlign w:val="bottom"/>
            <w:tcBorders>
              <w:right w:val="single" w:sz="8" w:color="CCEEFF"/>
            </w:tcBorders>
            <w:gridSpan w:val="5"/>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83.5</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​4,395,908</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2380" w:type="dxa"/>
            <w:vAlign w:val="bottom"/>
            <w:gridSpan w:val="9"/>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94.7</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​11,632,374</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​1,593,629</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93.8</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7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Company-owned teahouses</w:t>
            </w:r>
          </w:p>
        </w:tc>
        <w:tc>
          <w:tcPr>
            <w:tcW w:w="82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81,392</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124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15"/>
                <w:szCs w:val="15"/>
                <w:color w:val="auto"/>
              </w:rPr>
              <w:t>16.5</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244,263</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540" w:type="dxa"/>
            <w:vAlign w:val="bottom"/>
            <w:gridSpan w:val="3"/>
          </w:tcPr>
          <w:p>
            <w:pPr>
              <w:jc w:val="right"/>
              <w:ind w:right="60"/>
              <w:spacing w:after="0" w:line="250" w:lineRule="exact"/>
              <w:rPr>
                <w:sz w:val="20"/>
                <w:szCs w:val="20"/>
                <w:color w:val="auto"/>
              </w:rPr>
            </w:pPr>
            <w:r>
              <w:rPr>
                <w:rFonts w:ascii="Times New Roman" w:cs="Times New Roman" w:eastAsia="Times New Roman" w:hAnsi="Times New Roman"/>
                <w:sz w:val="15"/>
                <w:szCs w:val="15"/>
                <w:color w:val="auto"/>
              </w:rPr>
              <w:t>5.3</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1560" w:type="dxa"/>
            <w:vAlign w:val="bottom"/>
            <w:gridSpan w:val="5"/>
          </w:tcPr>
          <w:p>
            <w:pPr>
              <w:jc w:val="right"/>
              <w:ind w:right="40"/>
              <w:spacing w:after="0" w:line="250" w:lineRule="exact"/>
              <w:rPr>
                <w:sz w:val="20"/>
                <w:szCs w:val="20"/>
                <w:color w:val="auto"/>
              </w:rPr>
            </w:pPr>
            <w:r>
              <w:rPr>
                <w:rFonts w:ascii="Times New Roman" w:cs="Times New Roman" w:eastAsia="Times New Roman" w:hAnsi="Times New Roman"/>
                <w:sz w:val="15"/>
                <w:szCs w:val="15"/>
                <w:color w:val="auto"/>
              </w:rPr>
              <w:t>773,208</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105,929</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32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6.2</w:t>
            </w:r>
            <w:r>
              <w:rPr>
                <w:rFonts w:ascii="Times New Roman" w:cs="Times New Roman" w:eastAsia="Times New Roman" w:hAnsi="Times New Roman"/>
                <w:sz w:val="28"/>
                <w:szCs w:val="28"/>
                <w:color w:val="auto"/>
                <w:vertAlign w:val="subscript"/>
              </w:rPr>
              <w:t>​</w:t>
            </w:r>
          </w:p>
        </w:tc>
      </w:tr>
      <w:tr>
        <w:trPr>
          <w:trHeight w:val="20"/>
        </w:trPr>
        <w:tc>
          <w:tcPr>
            <w:tcW w:w="37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440" w:type="dxa"/>
            <w:vAlign w:val="bottom"/>
            <w:gridSpan w:val="17"/>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​491,653</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​100.0</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​4,640,171</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​100.0</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​12,405,582</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​1,699,558</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​100.0</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5703570</wp:posOffset>
            </wp:positionH>
            <wp:positionV relativeFrom="paragraph">
              <wp:posOffset>-205105</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-205105</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-205105</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-205105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-205105</wp:posOffset>
            </wp:positionV>
            <wp:extent cx="31800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180080" cy="825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-548005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-548005</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-548005</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-548005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-548005</wp:posOffset>
            </wp:positionV>
            <wp:extent cx="31800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180080" cy="825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-1645285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-1645285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-1645285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-1645285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-1645285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-1645285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generate most of our net revenues through our franchised teahouses. In the years ended December 31, 2022, 2023 and 2024, 83.5%, 94.7% and 93.8% of our total net revenues were generated from our franchised teahouses, respectively.</w:t>
      </w:r>
    </w:p>
    <w:p>
      <w:pPr>
        <w:spacing w:after="0" w:line="98"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Franchised teahouses</w:t>
      </w:r>
      <w:r>
        <w:rPr>
          <w:rFonts w:ascii="Times New Roman" w:cs="Times New Roman" w:eastAsia="Times New Roman" w:hAnsi="Times New Roman"/>
          <w:sz w:val="18"/>
          <w:szCs w:val="18"/>
          <w:color w:val="auto"/>
        </w:rPr>
        <w:t>. We generate net revenues by providing products and services to our franchised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teahouses under our franchise arrangements.</w:t>
      </w:r>
    </w:p>
    <w:p>
      <w:pPr>
        <w:spacing w:after="0" w:line="61" w:lineRule="exact"/>
        <w:rPr>
          <w:sz w:val="20"/>
          <w:szCs w:val="20"/>
          <w:color w:val="auto"/>
        </w:rPr>
      </w:pPr>
    </w:p>
    <w:p>
      <w:pPr>
        <w:jc w:val="both"/>
        <w:ind w:left="1980" w:right="419" w:hanging="360"/>
        <w:spacing w:after="0" w:line="258" w:lineRule="auto"/>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of products</w:t>
      </w:r>
      <w:r>
        <w:rPr>
          <w:rFonts w:ascii="Times New Roman" w:cs="Times New Roman" w:eastAsia="Times New Roman" w:hAnsi="Times New Roman"/>
          <w:sz w:val="18"/>
          <w:szCs w:val="18"/>
          <w:color w:val="auto"/>
        </w:rPr>
        <w:t>. We generate net revenues from sales of products by supplying raw materials,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tea leaves and dairy, as well as packaging materials used to make our tea drinks, to our franchised teahouses. Additionally, net revenues from sales of products are generated by selling teahouse equipment such as automated tea brewers, milk frothers and ice makers, usually during store openings or to replace existing equipment.</w:t>
      </w:r>
    </w:p>
    <w:p>
      <w:pPr>
        <w:spacing w:after="0" w:line="75" w:lineRule="exact"/>
        <w:rPr>
          <w:rFonts w:ascii="Times New Roman" w:cs="Times New Roman" w:eastAsia="Times New Roman" w:hAnsi="Times New Roman"/>
          <w:sz w:val="18"/>
          <w:szCs w:val="18"/>
          <w:color w:val="auto"/>
        </w:rPr>
      </w:pPr>
    </w:p>
    <w:p>
      <w:pPr>
        <w:jc w:val="both"/>
        <w:ind w:left="1980" w:right="419" w:hanging="360"/>
        <w:spacing w:after="0" w:line="258" w:lineRule="auto"/>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Franchising and other services</w:t>
      </w:r>
      <w:r>
        <w:rPr>
          <w:rFonts w:ascii="Times New Roman" w:cs="Times New Roman" w:eastAsia="Times New Roman" w:hAnsi="Times New Roman"/>
          <w:sz w:val="18"/>
          <w:szCs w:val="18"/>
          <w:color w:val="auto"/>
        </w:rPr>
        <w:t>. Net revenues from franchising and other services are generated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service fees that we receive from our franchise partners pursuant to our franchise contracts, which primarily include (a) monthly royalties typically computed by applying a fixed percentage to the monthly income, or, in certain instances, to the monthly profit generated by a franchised teahouse, (b) fixed initial franchise fees and (c) annual brand license fees.</w:t>
      </w:r>
    </w:p>
    <w:p>
      <w:pPr>
        <w:spacing w:after="0" w:line="114" w:lineRule="exact"/>
        <w:rPr>
          <w:sz w:val="20"/>
          <w:szCs w:val="20"/>
          <w:color w:val="auto"/>
        </w:rPr>
      </w:pPr>
    </w:p>
    <w:p>
      <w:pPr>
        <w:ind w:left="1260" w:right="41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Company-owned teahouses</w:t>
      </w:r>
      <w:r>
        <w:rPr>
          <w:rFonts w:ascii="Times New Roman" w:cs="Times New Roman" w:eastAsia="Times New Roman" w:hAnsi="Times New Roman"/>
          <w:sz w:val="18"/>
          <w:szCs w:val="18"/>
          <w:color w:val="auto"/>
        </w:rPr>
        <w:t>. We also generate net revenues by offering a variety of freshly-made tea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drinks directly to consumers at our company-owned teahouses.</w:t>
      </w:r>
    </w:p>
    <w:p>
      <w:pPr>
        <w:spacing w:after="0" w:line="1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Total Operating Expenses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breakdown of our total operating expenses, in absolute amounts and as percentages of total operating expenses, for the periods indicated.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9"/>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For the Year Ended December 31,</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9"/>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33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ind w:left="60"/>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RMB  </w:t>
            </w:r>
            <w:r>
              <w:rPr>
                <w:rFonts w:ascii="Times New Roman" w:cs="Times New Roman" w:eastAsia="Times New Roman" w:hAnsi="Times New Roman"/>
                <w:sz w:val="24"/>
                <w:szCs w:val="24"/>
                <w:b w:val="1"/>
                <w:bCs w:val="1"/>
                <w:color w:val="auto"/>
                <w:vertAlign w:val="subscript"/>
              </w:rPr>
              <w:t>​​</w:t>
            </w:r>
          </w:p>
        </w:tc>
        <w:tc>
          <w:tcPr>
            <w:tcW w:w="540" w:type="dxa"/>
            <w:vAlign w:val="bottom"/>
            <w:gridSpan w:val="3"/>
          </w:tcPr>
          <w:p>
            <w:pPr>
              <w:jc w:val="right"/>
              <w:ind w:right="8"/>
              <w:spacing w:after="0" w:line="210" w:lineRule="exact"/>
              <w:rPr>
                <w:sz w:val="20"/>
                <w:szCs w:val="20"/>
                <w:color w:val="auto"/>
              </w:rPr>
            </w:pP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3"/>
                <w:szCs w:val="13"/>
                <w:b w:val="1"/>
                <w:bCs w:val="1"/>
                <w:color w:val="auto"/>
              </w:rPr>
              <w:t xml:space="preserve">  ​​</w:t>
            </w:r>
          </w:p>
        </w:tc>
        <w:tc>
          <w:tcPr>
            <w:tcW w:w="860" w:type="dxa"/>
            <w:vAlign w:val="bottom"/>
            <w:gridSpan w:val="3"/>
          </w:tcPr>
          <w:p>
            <w:pPr>
              <w:jc w:val="right"/>
              <w:ind w:right="80"/>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RMB   </w:t>
            </w:r>
            <w:r>
              <w:rPr>
                <w:rFonts w:ascii="Times New Roman" w:cs="Times New Roman" w:eastAsia="Times New Roman" w:hAnsi="Times New Roman"/>
                <w:sz w:val="24"/>
                <w:szCs w:val="24"/>
                <w:b w:val="1"/>
                <w:bCs w:val="1"/>
                <w:color w:val="auto"/>
                <w:vertAlign w:val="subscript"/>
              </w:rPr>
              <w:t>​​</w:t>
            </w:r>
          </w:p>
        </w:tc>
        <w:tc>
          <w:tcPr>
            <w:tcW w:w="540" w:type="dxa"/>
            <w:vAlign w:val="bottom"/>
            <w:gridSpan w:val="3"/>
          </w:tcPr>
          <w:p>
            <w:pPr>
              <w:jc w:val="right"/>
              <w:ind w:right="100"/>
              <w:spacing w:after="0" w:line="210" w:lineRule="exact"/>
              <w:rPr>
                <w:sz w:val="20"/>
                <w:szCs w:val="20"/>
                <w:color w:val="auto"/>
              </w:rPr>
            </w:pP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3"/>
                <w:szCs w:val="13"/>
                <w:b w:val="1"/>
                <w:bCs w:val="1"/>
                <w:color w:val="auto"/>
              </w:rPr>
              <w:t xml:space="preserve">  ​​</w:t>
            </w:r>
          </w:p>
        </w:tc>
        <w:tc>
          <w:tcPr>
            <w:tcW w:w="800" w:type="dxa"/>
            <w:vAlign w:val="bottom"/>
            <w:gridSpan w:val="3"/>
          </w:tcPr>
          <w:p>
            <w:pPr>
              <w:jc w:val="right"/>
              <w:ind w:right="60"/>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RMB   </w:t>
            </w:r>
            <w:r>
              <w:rPr>
                <w:rFonts w:ascii="Times New Roman" w:cs="Times New Roman" w:eastAsia="Times New Roman" w:hAnsi="Times New Roman"/>
                <w:sz w:val="24"/>
                <w:szCs w:val="24"/>
                <w:b w:val="1"/>
                <w:bCs w:val="1"/>
                <w:color w:val="auto"/>
                <w:vertAlign w:val="subscript"/>
              </w:rPr>
              <w:t>​​</w:t>
            </w:r>
          </w:p>
        </w:tc>
        <w:tc>
          <w:tcPr>
            <w:tcW w:w="6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9"/>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10"/>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(in thousands, except for percentages)</w:t>
            </w: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Cost of materials</w:t>
            </w: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291,230​​​</w:t>
            </w:r>
            <w:r>
              <w:rPr>
                <w:rFonts w:ascii="Times New Roman" w:cs="Times New Roman" w:eastAsia="Times New Roman" w:hAnsi="Times New Roman"/>
                <w:sz w:val="18"/>
                <w:szCs w:val="18"/>
                <w:b w:val="1"/>
                <w:bCs w:val="1"/>
                <w:color w:val="auto"/>
              </w:rPr>
              <w:t>​</w:t>
            </w:r>
          </w:p>
        </w:tc>
        <w:tc>
          <w:tcPr>
            <w:tcW w:w="2740" w:type="dxa"/>
            <w:vAlign w:val="bottom"/>
            <w:gridSpan w:val="12"/>
          </w:tcPr>
          <w:p>
            <w:pPr>
              <w:jc w:val="right"/>
              <w:spacing w:after="0"/>
              <w:rPr>
                <w:sz w:val="20"/>
                <w:szCs w:val="20"/>
                <w:color w:val="auto"/>
              </w:rPr>
            </w:pPr>
            <w:r>
              <w:rPr>
                <w:rFonts w:ascii="Times New Roman" w:cs="Times New Roman" w:eastAsia="Times New Roman" w:hAnsi="Times New Roman"/>
                <w:sz w:val="18"/>
                <w:szCs w:val="18"/>
                <w:color w:val="auto"/>
              </w:rPr>
              <w:t>47.9​​​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2,462,387​​​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69.1​​​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6,012,922​​​</w:t>
            </w:r>
            <w:r>
              <w:rPr>
                <w:rFonts w:ascii="Times New Roman" w:cs="Times New Roman" w:eastAsia="Times New Roman" w:hAnsi="Times New Roman"/>
                <w:sz w:val="18"/>
                <w:szCs w:val="18"/>
                <w:b w:val="1"/>
                <w:bCs w:val="1"/>
                <w:color w:val="auto"/>
              </w:rPr>
              <w:t>​</w:t>
            </w:r>
          </w:p>
        </w:tc>
        <w:tc>
          <w:tcPr>
            <w:tcW w:w="12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823,767​​​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63.2​</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Company-owned teahouse operating costs</w:t>
            </w:r>
          </w:p>
        </w:tc>
        <w:tc>
          <w:tcPr>
            <w:tcW w:w="8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 xml:space="preserve"> 54,901​​​</w:t>
            </w:r>
            <w:r>
              <w:rPr>
                <w:rFonts w:ascii="Times New Roman" w:cs="Times New Roman" w:eastAsia="Times New Roman" w:hAnsi="Times New Roman"/>
                <w:sz w:val="18"/>
                <w:szCs w:val="18"/>
                <w:b w:val="1"/>
                <w:bCs w:val="1"/>
                <w:color w:val="auto"/>
                <w:shd w:val="clear" w:color="auto" w:fill="CCEEFF"/>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9.1​​​</w:t>
            </w:r>
            <w:r>
              <w:rPr>
                <w:rFonts w:ascii="Times New Roman" w:cs="Times New Roman" w:eastAsia="Times New Roman" w:hAnsi="Times New Roman"/>
                <w:sz w:val="18"/>
                <w:szCs w:val="18"/>
                <w:b w:val="1"/>
                <w:bCs w:val="1"/>
                <w:color w:val="auto"/>
                <w:shd w:val="clear" w:color="auto" w:fill="CCEEFF"/>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shd w:val="clear" w:color="auto" w:fill="CCEEFF"/>
              </w:rPr>
              <w:t>106,379​​​</w:t>
            </w:r>
            <w:r>
              <w:rPr>
                <w:rFonts w:ascii="Times New Roman" w:cs="Times New Roman" w:eastAsia="Times New Roman" w:hAnsi="Times New Roman"/>
                <w:sz w:val="18"/>
                <w:szCs w:val="18"/>
                <w:b w:val="1"/>
                <w:bCs w:val="1"/>
                <w:color w:val="auto"/>
                <w:shd w:val="clear" w:color="auto" w:fill="CCEEFF"/>
              </w:rPr>
              <w:t>​</w:t>
            </w: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shd w:val="clear" w:color="auto" w:fill="CCEEFF"/>
              </w:rPr>
              <w:t>3.0​​​</w:t>
            </w:r>
            <w:r>
              <w:rPr>
                <w:rFonts w:ascii="Times New Roman" w:cs="Times New Roman" w:eastAsia="Times New Roman" w:hAnsi="Times New Roman"/>
                <w:sz w:val="18"/>
                <w:szCs w:val="18"/>
                <w:b w:val="1"/>
                <w:bCs w:val="1"/>
                <w:color w:val="auto"/>
                <w:shd w:val="clear" w:color="auto" w:fill="CCEEFF"/>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467,320​​​</w:t>
            </w:r>
            <w:r>
              <w:rPr>
                <w:rFonts w:ascii="Times New Roman" w:cs="Times New Roman" w:eastAsia="Times New Roman" w:hAnsi="Times New Roman"/>
                <w:sz w:val="18"/>
                <w:szCs w:val="18"/>
                <w:b w:val="1"/>
                <w:bCs w:val="1"/>
                <w:color w:val="auto"/>
                <w:shd w:val="clear" w:color="auto" w:fill="CCEEFF"/>
              </w:rPr>
              <w:t>​</w:t>
            </w: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64,023​​​</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 xml:space="preserve">  4.9</w:t>
            </w: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Storage and logistics costs</w:t>
            </w: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12,453​​​</w:t>
            </w:r>
            <w:r>
              <w:rPr>
                <w:rFonts w:ascii="Times New Roman" w:cs="Times New Roman" w:eastAsia="Times New Roman" w:hAnsi="Times New Roman"/>
                <w:sz w:val="18"/>
                <w:szCs w:val="18"/>
                <w:b w:val="1"/>
                <w:b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99,867​​​</w:t>
            </w:r>
            <w:r>
              <w:rPr>
                <w:rFonts w:ascii="Times New Roman" w:cs="Times New Roman" w:eastAsia="Times New Roman" w:hAnsi="Times New Roman"/>
                <w:sz w:val="18"/>
                <w:szCs w:val="18"/>
                <w:b w:val="1"/>
                <w:bCs w:val="1"/>
                <w:color w:val="auto"/>
              </w:rPr>
              <w:t>​</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w:t>
            </w:r>
            <w:r>
              <w:rPr>
                <w:rFonts w:ascii="Times New Roman" w:cs="Times New Roman" w:eastAsia="Times New Roman" w:hAnsi="Times New Roman"/>
                <w:sz w:val="18"/>
                <w:szCs w:val="18"/>
                <w:b w:val="1"/>
                <w:bCs w:val="1"/>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243,822​​​</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33,403​​​</w:t>
            </w:r>
            <w:r>
              <w:rPr>
                <w:rFonts w:ascii="Times New Roman" w:cs="Times New Roman" w:eastAsia="Times New Roman" w:hAnsi="Times New Roman"/>
                <w:sz w:val="18"/>
                <w:szCs w:val="18"/>
                <w:b w:val="1"/>
                <w:bCs w:val="1"/>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costs</w:t>
            </w:r>
          </w:p>
        </w:tc>
        <w:tc>
          <w:tcPr>
            <w:tcW w:w="8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75,775​​​</w:t>
            </w:r>
            <w:r>
              <w:rPr>
                <w:rFonts w:ascii="Times New Roman" w:cs="Times New Roman" w:eastAsia="Times New Roman" w:hAnsi="Times New Roman"/>
                <w:sz w:val="18"/>
                <w:szCs w:val="18"/>
                <w:b w:val="1"/>
                <w:bCs w:val="1"/>
                <w:color w:val="auto"/>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r>
              <w:rPr>
                <w:rFonts w:ascii="Times New Roman" w:cs="Times New Roman" w:eastAsia="Times New Roman" w:hAnsi="Times New Roman"/>
                <w:sz w:val="18"/>
                <w:szCs w:val="18"/>
                <w:b w:val="1"/>
                <w:bCs w:val="1"/>
                <w:color w:val="auto"/>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272,773​​​</w:t>
            </w:r>
            <w:r>
              <w:rPr>
                <w:rFonts w:ascii="Times New Roman" w:cs="Times New Roman" w:eastAsia="Times New Roman" w:hAnsi="Times New Roman"/>
                <w:sz w:val="18"/>
                <w:szCs w:val="18"/>
                <w:b w:val="1"/>
                <w:bCs w:val="1"/>
                <w:color w:val="auto"/>
              </w:rPr>
              <w:t>​</w:t>
            </w: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r>
              <w:rPr>
                <w:rFonts w:ascii="Times New Roman" w:cs="Times New Roman" w:eastAsia="Times New Roman" w:hAnsi="Times New Roman"/>
                <w:sz w:val="18"/>
                <w:szCs w:val="18"/>
                <w:b w:val="1"/>
                <w:bCs w:val="1"/>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572,621​​​</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78,449​​​</w:t>
            </w: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73,605​​​</w:t>
            </w:r>
            <w:r>
              <w:rPr>
                <w:rFonts w:ascii="Times New Roman" w:cs="Times New Roman" w:eastAsia="Times New Roman" w:hAnsi="Times New Roman"/>
                <w:sz w:val="18"/>
                <w:szCs w:val="18"/>
                <w:b w:val="1"/>
                <w:b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w:t>
            </w: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261,563​​​</w:t>
            </w:r>
            <w:r>
              <w:rPr>
                <w:rFonts w:ascii="Times New Roman" w:cs="Times New Roman" w:eastAsia="Times New Roman" w:hAnsi="Times New Roman"/>
                <w:sz w:val="18"/>
                <w:szCs w:val="18"/>
                <w:b w:val="1"/>
                <w:bCs w:val="1"/>
                <w:color w:val="auto"/>
              </w:rPr>
              <w:t>​</w:t>
            </w:r>
          </w:p>
        </w:tc>
        <w:tc>
          <w:tcPr>
            <w:tcW w:w="13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7.3​​​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1,108,911​​​</w:t>
            </w:r>
            <w:r>
              <w:rPr>
                <w:rFonts w:ascii="Times New Roman" w:cs="Times New Roman" w:eastAsia="Times New Roman" w:hAnsi="Times New Roman"/>
                <w:sz w:val="18"/>
                <w:szCs w:val="18"/>
                <w:b w:val="1"/>
                <w:bCs w:val="1"/>
                <w:color w:val="auto"/>
              </w:rPr>
              <w:t>​</w:t>
            </w:r>
          </w:p>
        </w:tc>
        <w:tc>
          <w:tcPr>
            <w:tcW w:w="12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151,920​​​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11.6​</w:t>
            </w:r>
          </w:p>
        </w:tc>
      </w:tr>
      <w:tr>
        <w:trPr>
          <w:trHeight w:val="24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99,530​​​​</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363,099​​​​ 10.2​​​​1,113,387​​​​</w:t>
            </w: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152,533​​​​ 11.7</w:t>
            </w:r>
          </w:p>
        </w:tc>
        <w:tc>
          <w:tcPr>
            <w:tcW w:w="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3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80" w:type="dxa"/>
            <w:vAlign w:val="bottom"/>
            <w:gridSpan w:val="23"/>
          </w:tcPr>
          <w:p>
            <w:pPr>
              <w:ind w:left="2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​607,494</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​100.0</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​3,566,068</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​100.0</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​9,518,983</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​1,304,095</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​100.0</w:t>
            </w:r>
            <w:r>
              <w:rPr>
                <w:rFonts w:ascii="Times New Roman" w:cs="Times New Roman" w:eastAsia="Times New Roman" w:hAnsi="Times New Roman"/>
                <w:sz w:val="25"/>
                <w:szCs w:val="25"/>
                <w:b w:val="1"/>
                <w:bCs w:val="1"/>
                <w:color w:val="auto"/>
                <w:vertAlign w:val="subscript"/>
              </w:rPr>
              <w:t>​</w:t>
            </w:r>
          </w:p>
        </w:tc>
      </w:tr>
      <w:tr>
        <w:trPr>
          <w:trHeight w:val="20"/>
        </w:trPr>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5677535</wp:posOffset>
            </wp:positionH>
            <wp:positionV relativeFrom="paragraph">
              <wp:posOffset>-1319530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-1319530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-1319530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-1319530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-1319530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3388995</wp:posOffset>
            </wp:positionH>
            <wp:positionV relativeFrom="paragraph">
              <wp:posOffset>-1319530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jc w:val="both"/>
        <w:ind w:left="1260" w:right="419" w:firstLine="36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Cost of materials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cost of materials consists of (i) costs associated with the procurements of raw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materials (including tea leaves, dairy, syrup and jam, among others), and packaging (such as cups, straws and paper bags), both of which are used to prepare our tea drinks, and (ii) cost of teahouse equipment and others, primarily associated with the procurements of teahouse equipment such as automated tea brewers, milk frothers and ice makers. The following table sets forth a breakdown of our cost of materials by their nature, in absolute amounts and as percentages of total cost of materials, for the periods indicated.</w:t>
      </w:r>
    </w:p>
    <w:p>
      <w:pPr>
        <w:spacing w:after="0" w:line="112"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1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Pr>
          <w:p>
            <w:pPr>
              <w:ind w:left="17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1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gridSpan w:val="2"/>
          </w:tcPr>
          <w:p>
            <w:pPr>
              <w:ind w:left="174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spacing w:after="0"/>
              <w:rPr>
                <w:sz w:val="18"/>
                <w:szCs w:val="18"/>
                <w:color w:val="auto"/>
              </w:rPr>
            </w:pPr>
          </w:p>
        </w:tc>
        <w:tc>
          <w:tcPr>
            <w:tcW w:w="5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6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gridSpan w:val="2"/>
          </w:tcPr>
          <w:p>
            <w:pPr>
              <w:ind w:left="174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center"/>
              <w:ind w:right="12"/>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RMB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right"/>
              <w:ind w:right="70"/>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RMB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ind w:left="200"/>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RMB   </w:t>
            </w:r>
            <w:r>
              <w:rPr>
                <w:rFonts w:ascii="Times New Roman" w:cs="Times New Roman" w:eastAsia="Times New Roman" w:hAnsi="Times New Roman"/>
                <w:sz w:val="24"/>
                <w:szCs w:val="24"/>
                <w:b w:val="1"/>
                <w:bCs w:val="1"/>
                <w:color w:val="auto"/>
                <w:vertAlign w:val="subscript"/>
              </w:rPr>
              <w:t>​​</w:t>
            </w:r>
          </w:p>
        </w:tc>
        <w:tc>
          <w:tcPr>
            <w:tcW w:w="5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US$</w:t>
            </w:r>
          </w:p>
        </w:tc>
        <w:tc>
          <w:tcPr>
            <w:tcW w:w="66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3"/>
                <w:szCs w:val="13"/>
                <w:b w:val="1"/>
                <w:bCs w:val="1"/>
                <w:color w:val="auto"/>
              </w:rPr>
              <w:t xml:space="preserve">  ​</w:t>
            </w:r>
          </w:p>
        </w:tc>
      </w:tr>
      <w:tr>
        <w:trPr>
          <w:trHeight w:val="213"/>
        </w:trPr>
        <w:tc>
          <w:tcPr>
            <w:tcW w:w="1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Pr>
          <w:p>
            <w:pPr>
              <w:ind w:left="17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 except for percentages)</w:t>
            </w: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5669280</wp:posOffset>
            </wp:positionH>
            <wp:positionV relativeFrom="paragraph">
              <wp:posOffset>-147320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-147320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-147320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-147320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-147320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-147320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Cost of Materials</w:t>
      </w:r>
    </w:p>
    <w:p>
      <w:pPr>
        <w:spacing w:after="0" w:line="31" w:lineRule="exact"/>
        <w:rPr>
          <w:sz w:val="20"/>
          <w:szCs w:val="20"/>
          <w:color w:val="auto"/>
        </w:rPr>
      </w:pPr>
    </w:p>
    <w:p>
      <w:pPr>
        <w:ind w:left="1260"/>
        <w:spacing w:after="0" w:line="260" w:lineRule="auto"/>
        <w:rPr>
          <w:sz w:val="20"/>
          <w:szCs w:val="20"/>
          <w:color w:val="auto"/>
        </w:rPr>
      </w:pPr>
      <w:r>
        <w:rPr>
          <w:rFonts w:ascii="Times New Roman" w:cs="Times New Roman" w:eastAsia="Times New Roman" w:hAnsi="Times New Roman"/>
          <w:sz w:val="18"/>
          <w:szCs w:val="18"/>
          <w:color w:val="auto"/>
        </w:rPr>
        <w:t>Cost of raw materials and packaging Cost of teahouse equipment and others</w:t>
      </w: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254,153​​​</w:t>
            </w:r>
            <w:r>
              <w:rPr>
                <w:rFonts w:ascii="Times New Roman" w:cs="Times New Roman" w:eastAsia="Times New Roman" w:hAnsi="Times New Roman"/>
                <w:sz w:val="18"/>
                <w:szCs w:val="18"/>
                <w:b w:val="1"/>
                <w:bCs w:val="1"/>
                <w:color w:val="auto"/>
              </w:rPr>
              <w:t>​</w:t>
            </w:r>
          </w:p>
        </w:tc>
        <w:tc>
          <w:tcPr>
            <w:tcW w:w="13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87.3​​​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2,041,251​​​</w:t>
            </w:r>
            <w:r>
              <w:rPr>
                <w:rFonts w:ascii="Times New Roman" w:cs="Times New Roman" w:eastAsia="Times New Roman" w:hAnsi="Times New Roman"/>
                <w:sz w:val="18"/>
                <w:szCs w:val="18"/>
                <w:b w:val="1"/>
                <w:bCs w:val="1"/>
                <w:color w:val="auto"/>
              </w:rPr>
              <w:t>​</w:t>
            </w:r>
          </w:p>
        </w:tc>
        <w:tc>
          <w:tcPr>
            <w:tcW w:w="252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82.9​​​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5,369,824​​​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735,663​​​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89.3​</w:t>
            </w:r>
          </w:p>
        </w:tc>
      </w:tr>
      <w:tr>
        <w:trPr>
          <w:trHeight w:val="234"/>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37,077​​​​</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421,136​​​​</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643,098​​​​</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88,104​​​​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18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-2196465</wp:posOffset>
            </wp:positionH>
            <wp:positionV relativeFrom="paragraph">
              <wp:posOffset>-162560</wp:posOffset>
            </wp:positionV>
            <wp:extent cx="5212080" cy="163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20"/>
        <w:spacing w:after="0" w:line="182" w:lineRule="auto"/>
        <w:rPr>
          <w:sz w:val="20"/>
          <w:szCs w:val="20"/>
          <w:color w:val="auto"/>
        </w:rPr>
      </w:pPr>
      <w:r>
        <w:rPr>
          <w:rFonts w:ascii="Times New Roman" w:cs="Times New Roman" w:eastAsia="Times New Roman" w:hAnsi="Times New Roman"/>
          <w:sz w:val="34"/>
          <w:szCs w:val="34"/>
          <w:b w:val="1"/>
          <w:bCs w:val="1"/>
          <w:color w:val="auto"/>
          <w:vertAlign w:val="subscript"/>
        </w:rPr>
        <w:t>​​</w:t>
      </w:r>
      <w:r>
        <w:rPr>
          <w:rFonts w:ascii="Times New Roman" w:cs="Times New Roman" w:eastAsia="Times New Roman" w:hAnsi="Times New Roman"/>
          <w:sz w:val="34"/>
          <w:szCs w:val="34"/>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​291,230</w:t>
      </w:r>
      <w:r>
        <w:rPr>
          <w:rFonts w:ascii="Times New Roman" w:cs="Times New Roman" w:eastAsia="Times New Roman" w:hAnsi="Times New Roman"/>
          <w:sz w:val="34"/>
          <w:szCs w:val="34"/>
          <w:b w:val="1"/>
          <w:bCs w:val="1"/>
          <w:color w:val="auto"/>
          <w:vertAlign w:val="subscript"/>
        </w:rPr>
        <w:t>​​​</w:t>
      </w:r>
      <w:r>
        <w:rPr>
          <w:rFonts w:ascii="Times New Roman" w:cs="Times New Roman" w:eastAsia="Times New Roman" w:hAnsi="Times New Roman"/>
          <w:sz w:val="34"/>
          <w:szCs w:val="34"/>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​100.0</w:t>
      </w:r>
      <w:r>
        <w:rPr>
          <w:rFonts w:ascii="Times New Roman" w:cs="Times New Roman" w:eastAsia="Times New Roman" w:hAnsi="Times New Roman"/>
          <w:sz w:val="34"/>
          <w:szCs w:val="34"/>
          <w:b w:val="1"/>
          <w:bCs w:val="1"/>
          <w:color w:val="auto"/>
          <w:vertAlign w:val="subscript"/>
        </w:rPr>
        <w:t>​​​</w:t>
      </w:r>
      <w:r>
        <w:rPr>
          <w:rFonts w:ascii="Times New Roman" w:cs="Times New Roman" w:eastAsia="Times New Roman" w:hAnsi="Times New Roman"/>
          <w:sz w:val="34"/>
          <w:szCs w:val="34"/>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​2,462,387</w:t>
      </w:r>
      <w:r>
        <w:rPr>
          <w:rFonts w:ascii="Times New Roman" w:cs="Times New Roman" w:eastAsia="Times New Roman" w:hAnsi="Times New Roman"/>
          <w:sz w:val="34"/>
          <w:szCs w:val="34"/>
          <w:b w:val="1"/>
          <w:bCs w:val="1"/>
          <w:color w:val="auto"/>
          <w:vertAlign w:val="subscript"/>
        </w:rPr>
        <w:t>​​​</w:t>
      </w:r>
      <w:r>
        <w:rPr>
          <w:rFonts w:ascii="Times New Roman" w:cs="Times New Roman" w:eastAsia="Times New Roman" w:hAnsi="Times New Roman"/>
          <w:sz w:val="34"/>
          <w:szCs w:val="34"/>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​100.0</w:t>
      </w:r>
      <w:r>
        <w:rPr>
          <w:rFonts w:ascii="Times New Roman" w:cs="Times New Roman" w:eastAsia="Times New Roman" w:hAnsi="Times New Roman"/>
          <w:sz w:val="34"/>
          <w:szCs w:val="34"/>
          <w:b w:val="1"/>
          <w:bCs w:val="1"/>
          <w:color w:val="auto"/>
          <w:vertAlign w:val="subscript"/>
        </w:rPr>
        <w:t>​​​</w:t>
      </w:r>
      <w:r>
        <w:rPr>
          <w:rFonts w:ascii="Times New Roman" w:cs="Times New Roman" w:eastAsia="Times New Roman" w:hAnsi="Times New Roman"/>
          <w:sz w:val="34"/>
          <w:szCs w:val="34"/>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​6,012,922</w:t>
      </w:r>
      <w:r>
        <w:rPr>
          <w:rFonts w:ascii="Times New Roman" w:cs="Times New Roman" w:eastAsia="Times New Roman" w:hAnsi="Times New Roman"/>
          <w:sz w:val="34"/>
          <w:szCs w:val="34"/>
          <w:b w:val="1"/>
          <w:bCs w:val="1"/>
          <w:color w:val="auto"/>
          <w:vertAlign w:val="subscript"/>
        </w:rPr>
        <w:t>​​​</w:t>
      </w:r>
      <w:r>
        <w:rPr>
          <w:rFonts w:ascii="Times New Roman" w:cs="Times New Roman" w:eastAsia="Times New Roman" w:hAnsi="Times New Roman"/>
          <w:sz w:val="34"/>
          <w:szCs w:val="34"/>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​823,767</w:t>
      </w:r>
      <w:r>
        <w:rPr>
          <w:rFonts w:ascii="Times New Roman" w:cs="Times New Roman" w:eastAsia="Times New Roman" w:hAnsi="Times New Roman"/>
          <w:sz w:val="34"/>
          <w:szCs w:val="34"/>
          <w:b w:val="1"/>
          <w:bCs w:val="1"/>
          <w:color w:val="auto"/>
          <w:vertAlign w:val="subscript"/>
        </w:rPr>
        <w:t>​​​</w:t>
      </w:r>
      <w:r>
        <w:rPr>
          <w:rFonts w:ascii="Times New Roman" w:cs="Times New Roman" w:eastAsia="Times New Roman" w:hAnsi="Times New Roman"/>
          <w:sz w:val="34"/>
          <w:szCs w:val="34"/>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​100.0</w:t>
      </w:r>
      <w:r>
        <w:rPr>
          <w:rFonts w:ascii="Times New Roman" w:cs="Times New Roman" w:eastAsia="Times New Roman" w:hAnsi="Times New Roman"/>
          <w:sz w:val="34"/>
          <w:szCs w:val="34"/>
          <w:b w:val="1"/>
          <w:bCs w:val="1"/>
          <w:color w:val="auto"/>
          <w:vertAlign w:val="subscript"/>
        </w:rPr>
        <w:t>​</w:t>
      </w:r>
    </w:p>
    <w:p>
      <w:pPr>
        <w:spacing w:after="0" w:line="200" w:lineRule="exact"/>
        <w:rPr>
          <w:sz w:val="20"/>
          <w:szCs w:val="20"/>
          <w:color w:val="auto"/>
        </w:rPr>
      </w:pPr>
    </w:p>
    <w:p>
      <w:pPr>
        <w:sectPr>
          <w:pgSz w:w="11900" w:h="16838" w:orient="portrait"/>
          <w:cols w:equalWidth="0" w:num="2">
            <w:col w:w="4180" w:space="540"/>
            <w:col w:w="5159"/>
          </w:cols>
          <w:pgMar w:left="580" w:top="97" w:right="1440" w:bottom="1440" w:gutter="0" w:footer="0" w:header="0"/>
          <w:type w:val="continuous"/>
        </w:sectPr>
      </w:pPr>
    </w:p>
    <w:p>
      <w:pPr>
        <w:spacing w:after="0" w:line="35" w:lineRule="exact"/>
        <w:rPr>
          <w:sz w:val="20"/>
          <w:szCs w:val="20"/>
          <w:color w:val="auto"/>
        </w:rPr>
      </w:pPr>
    </w:p>
    <w:p>
      <w:pPr>
        <w:ind w:left="1620"/>
        <w:spacing w:after="0"/>
        <w:tabs>
          <w:tab w:leader="none" w:pos="4980" w:val="left"/>
        </w:tabs>
        <w:rPr>
          <w:sz w:val="20"/>
          <w:szCs w:val="20"/>
          <w:color w:val="auto"/>
        </w:rPr>
      </w:pPr>
      <w:r>
        <w:rPr>
          <w:rFonts w:ascii="Times New Roman" w:cs="Times New Roman" w:eastAsia="Times New Roman" w:hAnsi="Times New Roman"/>
          <w:sz w:val="18"/>
          <w:szCs w:val="18"/>
          <w:b w:val="1"/>
          <w:bCs w:val="1"/>
          <w:i w:val="1"/>
          <w:iCs w:val="1"/>
          <w:color w:val="auto"/>
        </w:rPr>
        <w:t>Company-owned teahouse operating costs</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color w:val="auto"/>
        </w:rPr>
        <w:t>Our company-owned teahouse operating costs consist of</w:t>
      </w:r>
    </w:p>
    <w:p>
      <w:pPr>
        <w:spacing w:after="0" w:line="31" w:lineRule="exact"/>
        <w:rPr>
          <w:sz w:val="20"/>
          <w:szCs w:val="20"/>
          <w:color w:val="auto"/>
        </w:rPr>
      </w:pPr>
    </w:p>
    <w:p>
      <w:pPr>
        <w:jc w:val="both"/>
        <w:ind w:left="1260" w:right="419"/>
        <w:spacing w:after="0" w:line="273" w:lineRule="auto"/>
        <w:tabs>
          <w:tab w:leader="none" w:pos="149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expenses, representing salaries, benefits and bonuses for our employees responsible for operating our company-owned teahouses, (ii) store rental expenses, representing lease payments to lessors of our company-owned teahouses, and (iii) utilities and other store expenses relating to our company-owned teahouses.</w:t>
      </w:r>
    </w:p>
    <w:p>
      <w:pPr>
        <w:spacing w:after="0" w:line="324" w:lineRule="exact"/>
        <w:rPr>
          <w:sz w:val="20"/>
          <w:szCs w:val="20"/>
          <w:color w:val="auto"/>
        </w:rPr>
      </w:pPr>
    </w:p>
    <w:p>
      <w:pPr>
        <w:jc w:val="both"/>
        <w:ind w:left="1260" w:right="419" w:firstLine="36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Storage and logistics costs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storage and logistics costs consist primarily of storage fees and logistics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for deliveries of store supplies from warehouses to teahouses.</w:t>
      </w:r>
    </w:p>
    <w:p>
      <w:pPr>
        <w:spacing w:after="0" w:line="73" w:lineRule="exact"/>
        <w:rPr>
          <w:sz w:val="20"/>
          <w:szCs w:val="20"/>
          <w:color w:val="auto"/>
        </w:rPr>
      </w:pPr>
    </w:p>
    <w:p>
      <w:pPr>
        <w:jc w:val="both"/>
        <w:ind w:left="1260" w:right="419" w:firstLine="3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Other operating costs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other operating costs consist of (i) payroll expenses, representing salaries,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and bonuses for our employees responsible for overseeing, operating and training our franchise network, as well as managing the supply chain, (ii) operating costs allocated to these employees, including utilities, rental and other office-related expenses, and (iii) tax surcharges and others.</w:t>
      </w:r>
    </w:p>
    <w:p>
      <w:pPr>
        <w:spacing w:after="0" w:line="111"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sales and marketing expenses consist of (i) payroll expenses,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representing salaries, benefits and bonuses for our sales and marketing employees, (ii) advertising expenses relating to our branding and marketing efforts, (iii) office miscellaneous and travelling expenses, including rental and utilities expenses, and (iv) others. The following table sets forth the components of our sales and marketing expenses by amounts and percentages of total sales and marketing expenses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Sales and Marketing Expenses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Payroll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Advertising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Office miscellaneous and traveling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Others</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center"/>
              <w:ind w:right="483"/>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64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20"/>
                <w:szCs w:val="20"/>
                <w:color w:val="auto"/>
              </w:rPr>
            </w:pPr>
          </w:p>
        </w:tc>
        <w:tc>
          <w:tcPr>
            <w:tcW w:w="74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2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16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RMB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w:t>
            </w: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RMB</w:t>
            </w:r>
          </w:p>
        </w:tc>
        <w:tc>
          <w:tcPr>
            <w:tcW w:w="740" w:type="dxa"/>
            <w:vAlign w:val="bottom"/>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US$</w:t>
            </w:r>
          </w:p>
        </w:tc>
        <w:tc>
          <w:tcPr>
            <w:tcW w:w="640" w:type="dxa"/>
            <w:vAlign w:val="bottom"/>
          </w:tcPr>
          <w:p>
            <w:pPr>
              <w:ind w:left="12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7"/>
                <w:szCs w:val="27"/>
                <w:b w:val="1"/>
                <w:bCs w:val="1"/>
                <w:color w:val="auto"/>
                <w:vertAlign w:val="superscript"/>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gridSpan w:val="5"/>
          </w:tcPr>
          <w:p>
            <w:pPr>
              <w:jc w:val="center"/>
              <w:ind w:right="323"/>
              <w:spacing w:after="0"/>
              <w:rPr>
                <w:sz w:val="20"/>
                <w:szCs w:val="20"/>
                <w:color w:val="auto"/>
              </w:rPr>
            </w:pPr>
            <w:r>
              <w:rPr>
                <w:rFonts w:ascii="Times New Roman" w:cs="Times New Roman" w:eastAsia="Times New Roman" w:hAnsi="Times New Roman"/>
                <w:sz w:val="14"/>
                <w:szCs w:val="14"/>
                <w:b w:val="1"/>
                <w:bCs w:val="1"/>
                <w:color w:val="auto"/>
                <w:w w:val="97"/>
              </w:rPr>
              <w:t>(in thousands, except for percentages)</w:t>
            </w:r>
          </w:p>
        </w:tc>
        <w:tc>
          <w:tcPr>
            <w:tcW w:w="6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center"/>
              <w:ind w:right="508"/>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-2336165</wp:posOffset>
            </wp:positionH>
            <wp:positionV relativeFrom="paragraph">
              <wp:posOffset>-179070</wp:posOffset>
            </wp:positionV>
            <wp:extent cx="5212080" cy="162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-342265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2060575</wp:posOffset>
            </wp:positionH>
            <wp:positionV relativeFrom="paragraph">
              <wp:posOffset>-342265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-342265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1186180</wp:posOffset>
            </wp:positionH>
            <wp:positionV relativeFrom="paragraph">
              <wp:posOffset>-342265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-342265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397510</wp:posOffset>
            </wp:positionH>
            <wp:positionV relativeFrom="paragraph">
              <wp:posOffset>-342265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​​​25,945​​​​ 35.2​​​​ 93,742​​​​ 35.8​​​​ 258,450​​​​ 35,408​​​​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-2336165</wp:posOffset>
            </wp:positionH>
            <wp:positionV relativeFrom="paragraph">
              <wp:posOffset>14605</wp:posOffset>
            </wp:positionV>
            <wp:extent cx="5212080"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​​​39,899​​​​ 54.2​​​​140,419​​​​ 53.7​​​​ 781,199​​​​107,024​​​​ 70.4​</w:t>
      </w:r>
    </w:p>
    <w:p>
      <w:pPr>
        <w:spacing w:after="0" w:line="50" w:lineRule="exact"/>
        <w:rPr>
          <w:sz w:val="20"/>
          <w:szCs w:val="20"/>
          <w:color w:val="auto"/>
        </w:rPr>
      </w:pPr>
    </w:p>
    <w:p>
      <w:pPr>
        <w:ind w:left="40"/>
        <w:spacing w:after="0"/>
        <w:tabs>
          <w:tab w:leader="none" w:pos="2740" w:val="left"/>
          <w:tab w:leader="none" w:pos="3560" w:val="left"/>
          <w:tab w:leader="none" w:pos="4280" w:val="left"/>
        </w:tabs>
        <w:rPr>
          <w:sz w:val="20"/>
          <w:szCs w:val="20"/>
          <w:color w:val="auto"/>
        </w:rPr>
      </w:pPr>
      <w:r>
        <w:rPr>
          <w:rFonts w:ascii="Times New Roman" w:cs="Times New Roman" w:eastAsia="Times New Roman" w:hAnsi="Times New Roman"/>
          <w:sz w:val="18"/>
          <w:szCs w:val="18"/>
          <w:color w:val="auto"/>
        </w:rPr>
        <w:t>​​​ 3,055​​​​  4.2​​​​ 13,519​​​​  5.2​​​​</w:t>
        <w:tab/>
        <w:t>43,007​​​​</w:t>
        <w:tab/>
        <w:t>5,892​​​​</w:t>
        <w:tab/>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-2336165</wp:posOffset>
            </wp:positionH>
            <wp:positionV relativeFrom="paragraph">
              <wp:posOffset>14605</wp:posOffset>
            </wp:positionV>
            <wp:extent cx="521208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40"/>
        <w:spacing w:after="0" w:line="190" w:lineRule="auto"/>
        <w:tabs>
          <w:tab w:leader="none" w:pos="2740" w:val="left"/>
          <w:tab w:leader="none" w:pos="3560" w:val="left"/>
          <w:tab w:leader="none" w:pos="4280" w:val="left"/>
        </w:tabs>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 4,706</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  6.4</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 13,883</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  5.3</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26,255</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w:t>
        <w:tab/>
        <w:t>3,596</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w:t>
        <w:tab/>
        <w:t>2.4</w:t>
      </w:r>
      <w:r>
        <w:rPr>
          <w:rFonts w:ascii="Times New Roman" w:cs="Times New Roman" w:eastAsia="Times New Roman" w:hAnsi="Times New Roman"/>
          <w:sz w:val="35"/>
          <w:szCs w:val="35"/>
          <w:color w:val="auto"/>
          <w:vertAlign w:val="subscript"/>
        </w:rPr>
        <w:t>​</w:t>
      </w:r>
    </w:p>
    <w:p>
      <w:pPr>
        <w:jc w:val="center"/>
        <w:ind w:right="339"/>
        <w:spacing w:after="0" w:line="185" w:lineRule="auto"/>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​73,605</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​100.0</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​261,563</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​100.0</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​1,108,911</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​151,920</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​100.0</w:t>
      </w:r>
      <w:r>
        <w:rPr>
          <w:rFonts w:ascii="Times New Roman" w:cs="Times New Roman" w:eastAsia="Times New Roman" w:hAnsi="Times New Roman"/>
          <w:sz w:val="35"/>
          <w:szCs w:val="35"/>
          <w:b w:val="1"/>
          <w:bCs w:val="1"/>
          <w:color w:val="auto"/>
          <w:vertAlign w:val="subscript"/>
        </w:rPr>
        <w:t>​</w:t>
      </w:r>
    </w:p>
    <w:p>
      <w:pPr>
        <w:spacing w:after="0" w:line="200" w:lineRule="exact"/>
        <w:rPr>
          <w:sz w:val="20"/>
          <w:szCs w:val="20"/>
          <w:color w:val="auto"/>
        </w:rPr>
      </w:pPr>
    </w:p>
    <w:p>
      <w:pPr>
        <w:sectPr>
          <w:pgSz w:w="11900" w:h="16838" w:orient="portrait"/>
          <w:cols w:equalWidth="0" w:num="2">
            <w:col w:w="4620" w:space="320"/>
            <w:col w:w="4939"/>
          </w:cols>
          <w:pgMar w:left="580" w:top="97" w:right="1440" w:bottom="1440" w:gutter="0" w:footer="0" w:header="0"/>
        </w:sectPr>
      </w:pPr>
    </w:p>
    <w:p>
      <w:pPr>
        <w:spacing w:after="0" w:line="2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general and administrative expenses consist of (i) payroll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representing salaries, benefits, bonuses and share-based compensation for our management and administrative staff, (ii) professional service fees, representing costs associated with, management and business consulting services, and other professional service fees, (iii) office miscellaneous and traveling expenses, including rental and utilities expenses, and (iv) others. The following table sets forth the components of our general and administrative expenses by amounts and percentages of total general and administrative expenses for the periods indicated.</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For the Year Ended December 31,</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20"/>
                <w:szCs w:val="20"/>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6"/>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5"/>
          </w:tcPr>
          <w:p>
            <w:pPr>
              <w:ind w:left="4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7"/>
                <w:szCs w:val="27"/>
                <w:b w:val="1"/>
                <w:bCs w:val="1"/>
                <w:color w:val="auto"/>
                <w:vertAlign w:val="superscript"/>
              </w:rPr>
              <w:t>RMB</w:t>
            </w:r>
            <w:r>
              <w:rPr>
                <w:rFonts w:ascii="Times New Roman" w:cs="Times New Roman" w:eastAsia="Times New Roman" w:hAnsi="Times New Roman"/>
                <w:sz w:val="14"/>
                <w:szCs w:val="14"/>
                <w:b w:val="1"/>
                <w:bCs w:val="1"/>
                <w:color w:val="auto"/>
              </w:rPr>
              <w:t xml:space="preserve">  ​​</w:t>
            </w:r>
          </w:p>
        </w:tc>
        <w:tc>
          <w:tcPr>
            <w:tcW w:w="50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4"/>
                <w:szCs w:val="14"/>
                <w:b w:val="1"/>
                <w:bCs w:val="1"/>
                <w:color w:val="auto"/>
              </w:rPr>
              <w:t xml:space="preserve">  ​​</w:t>
            </w:r>
          </w:p>
        </w:tc>
        <w:tc>
          <w:tcPr>
            <w:tcW w:w="1080" w:type="dxa"/>
            <w:vAlign w:val="bottom"/>
            <w:gridSpan w:val="3"/>
          </w:tcPr>
          <w:p>
            <w:pPr>
              <w:jc w:val="center"/>
              <w:ind w:right="6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3"/>
          </w:tcPr>
          <w:p>
            <w:pPr>
              <w:jc w:val="right"/>
              <w:ind w:right="10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27"/>
                <w:szCs w:val="27"/>
                <w:b w:val="1"/>
                <w:bCs w:val="1"/>
                <w:color w:val="auto"/>
                <w:vertAlign w:val="subscript"/>
              </w:rPr>
              <w:t>​​</w:t>
            </w:r>
          </w:p>
        </w:tc>
        <w:tc>
          <w:tcPr>
            <w:tcW w:w="720" w:type="dxa"/>
            <w:vAlign w:val="bottom"/>
            <w:gridSpan w:val="3"/>
          </w:tcPr>
          <w:p>
            <w:pPr>
              <w:jc w:val="right"/>
              <w:ind w:right="8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   </w:t>
            </w:r>
            <w:r>
              <w:rPr>
                <w:rFonts w:ascii="Times New Roman" w:cs="Times New Roman" w:eastAsia="Times New Roman" w:hAnsi="Times New Roman"/>
                <w:sz w:val="27"/>
                <w:szCs w:val="27"/>
                <w:b w:val="1"/>
                <w:bCs w:val="1"/>
                <w:color w:val="auto"/>
                <w:vertAlign w:val="subscript"/>
              </w:rPr>
              <w:t>​​</w:t>
            </w:r>
          </w:p>
        </w:tc>
        <w:tc>
          <w:tcPr>
            <w:tcW w:w="400" w:type="dxa"/>
            <w:vAlign w:val="bottom"/>
            <w:gridSpan w:val="3"/>
          </w:tcPr>
          <w:p>
            <w:pPr>
              <w:ind w:left="6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7"/>
                <w:szCs w:val="27"/>
                <w:b w:val="1"/>
                <w:bCs w:val="1"/>
                <w:color w:val="auto"/>
                <w:vertAlign w:val="subscript"/>
              </w:rPr>
              <w:t>​</w:t>
            </w:r>
          </w:p>
        </w:tc>
      </w:tr>
      <w:tr>
        <w:trPr>
          <w:trHeight w:val="237"/>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(in thousands, except for percentages)</w:t>
            </w:r>
          </w:p>
        </w:tc>
        <w:tc>
          <w:tcPr>
            <w:tcW w:w="5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Payroll expenses and share-based compensation</w:t>
            </w: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​​​64,896​​​​</w:t>
            </w:r>
          </w:p>
        </w:tc>
        <w:tc>
          <w:tcPr>
            <w:tcW w:w="180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rPr>
              <w:t>65.2​​​​240,454​​​​ 66.2​​​​</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565,845​​​​</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77,520​​​​</w:t>
            </w: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50.8​</w:t>
            </w:r>
          </w:p>
        </w:tc>
      </w:tr>
      <w:tr>
        <w:trPr>
          <w:trHeight w:val="257"/>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 fees</w:t>
            </w:r>
          </w:p>
        </w:tc>
        <w:tc>
          <w:tcPr>
            <w:tcW w:w="8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​​​13,123​​​​</w:t>
            </w: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3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63,054​​​​ 17.4​​​​</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139,671​​​​</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19,135​​​​</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12.5</w:t>
            </w:r>
          </w:p>
        </w:tc>
        <w:tc>
          <w:tcPr>
            <w:tcW w:w="2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Office miscellaneous and traveling expenses</w:t>
            </w: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6,848​​​​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25,131​​​​  6.9​​​​</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117,817​​​​</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16,141​​​​</w:t>
            </w: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10.6​</w:t>
            </w:r>
          </w:p>
        </w:tc>
      </w:tr>
      <w:tr>
        <w:trPr>
          <w:trHeight w:val="27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20" w:type="dxa"/>
            <w:vAlign w:val="bottom"/>
            <w:gridSpan w:val="5"/>
            <w:shd w:val="clear" w:color="auto" w:fill="CCEEFF"/>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​14,663</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500" w:type="dxa"/>
            <w:vAlign w:val="bottom"/>
            <w:tcBorders>
              <w:right w:val="single" w:sz="8" w:color="CCEEFF"/>
            </w:tcBorders>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14.7</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1300" w:type="dxa"/>
            <w:vAlign w:val="bottom"/>
            <w:gridSpan w:val="5"/>
            <w:shd w:val="clear" w:color="auto" w:fill="CCEEFF"/>
          </w:tcPr>
          <w:p>
            <w:pPr>
              <w:jc w:val="right"/>
              <w:ind w:right="60"/>
              <w:spacing w:after="0" w:line="269" w:lineRule="exact"/>
              <w:rPr>
                <w:sz w:val="20"/>
                <w:szCs w:val="20"/>
                <w:color w:val="auto"/>
              </w:rPr>
            </w:pPr>
            <w:r>
              <w:rPr>
                <w:rFonts w:ascii="Times New Roman" w:cs="Times New Roman" w:eastAsia="Times New Roman" w:hAnsi="Times New Roman"/>
                <w:sz w:val="17"/>
                <w:szCs w:val="17"/>
                <w:color w:val="auto"/>
              </w:rPr>
              <w:t>34,460</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9.5</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840" w:type="dxa"/>
            <w:vAlign w:val="bottom"/>
            <w:gridSpan w:val="3"/>
            <w:shd w:val="clear" w:color="auto" w:fill="CCEEFF"/>
          </w:tcPr>
          <w:p>
            <w:pPr>
              <w:jc w:val="right"/>
              <w:ind w:right="40"/>
              <w:spacing w:after="0" w:line="269" w:lineRule="exact"/>
              <w:rPr>
                <w:sz w:val="20"/>
                <w:szCs w:val="20"/>
                <w:color w:val="auto"/>
              </w:rPr>
            </w:pPr>
            <w:r>
              <w:rPr>
                <w:rFonts w:ascii="Times New Roman" w:cs="Times New Roman" w:eastAsia="Times New Roman" w:hAnsi="Times New Roman"/>
                <w:sz w:val="17"/>
                <w:szCs w:val="17"/>
                <w:color w:val="auto"/>
              </w:rPr>
              <w:t>290,054</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1060" w:type="dxa"/>
            <w:vAlign w:val="bottom"/>
            <w:gridSpan w:val="4"/>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39,737</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26.1</w:t>
            </w:r>
          </w:p>
        </w:tc>
        <w:tc>
          <w:tcPr>
            <w:tcW w:w="2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4"/>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580" w:type="dxa"/>
            <w:vAlign w:val="bottom"/>
            <w:gridSpan w:val="21"/>
          </w:tcPr>
          <w:p>
            <w:pPr>
              <w:ind w:left="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​99,530</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​100.0</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​363,099</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​100.0</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​1,113,387</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​152,533</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​100.0</w:t>
            </w:r>
            <w:r>
              <w:rPr>
                <w:rFonts w:ascii="Times New Roman" w:cs="Times New Roman" w:eastAsia="Times New Roman" w:hAnsi="Times New Roman"/>
                <w:sz w:val="28"/>
                <w:szCs w:val="28"/>
                <w:b w:val="1"/>
                <w:bCs w:val="1"/>
                <w:color w:val="auto"/>
                <w:vertAlign w:val="subscript"/>
              </w:rPr>
              <w:t>​</w:t>
            </w: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5660390</wp:posOffset>
            </wp:positionH>
            <wp:positionV relativeFrom="paragraph">
              <wp:posOffset>-1199515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-1199515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-1199515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-1199515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-1199515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-1199515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indicated, both in absolute amounts and as percentages of total net revenues. This information should be read together with our consolidated financial statements and related notes included elsewhere in this prospectus. The operating results in any period are not necessarily indicative of the results that may be expected for any future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9"/>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p>
        </w:tc>
        <w:tc>
          <w:tcPr>
            <w:tcW w:w="780" w:type="dxa"/>
            <w:vAlign w:val="bottom"/>
            <w:gridSpan w:val="2"/>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27"/>
                <w:szCs w:val="27"/>
                <w:b w:val="1"/>
                <w:bCs w:val="1"/>
                <w:color w:val="auto"/>
                <w:vertAlign w:val="subscript"/>
              </w:rPr>
              <w:t>​​</w:t>
            </w:r>
          </w:p>
        </w:tc>
        <w:tc>
          <w:tcPr>
            <w:tcW w:w="60" w:type="dxa"/>
            <w:vAlign w:val="bottom"/>
          </w:tcPr>
          <w:p>
            <w:pPr>
              <w:spacing w:after="0"/>
              <w:rPr>
                <w:sz w:val="20"/>
                <w:szCs w:val="20"/>
                <w:color w:val="auto"/>
              </w:rPr>
            </w:pPr>
          </w:p>
        </w:tc>
        <w:tc>
          <w:tcPr>
            <w:tcW w:w="48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4"/>
                <w:szCs w:val="14"/>
                <w:b w:val="1"/>
                <w:bCs w:val="1"/>
                <w:color w:val="auto"/>
              </w:rPr>
              <w:t xml:space="preserve">  ​​</w:t>
            </w:r>
          </w:p>
        </w:tc>
        <w:tc>
          <w:tcPr>
            <w:tcW w:w="40" w:type="dxa"/>
            <w:vAlign w:val="bottom"/>
          </w:tcPr>
          <w:p>
            <w:pPr>
              <w:spacing w:after="0"/>
              <w:rPr>
                <w:sz w:val="20"/>
                <w:szCs w:val="20"/>
                <w:color w:val="auto"/>
              </w:rPr>
            </w:pPr>
          </w:p>
        </w:tc>
        <w:tc>
          <w:tcPr>
            <w:tcW w:w="78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27"/>
                <w:szCs w:val="27"/>
                <w:b w:val="1"/>
                <w:bCs w:val="1"/>
                <w:color w:val="auto"/>
                <w:vertAlign w:val="subscript"/>
              </w:rPr>
              <w:t>​​</w:t>
            </w:r>
          </w:p>
        </w:tc>
        <w:tc>
          <w:tcPr>
            <w:tcW w:w="60" w:type="dxa"/>
            <w:vAlign w:val="bottom"/>
          </w:tcPr>
          <w:p>
            <w:pPr>
              <w:spacing w:after="0"/>
              <w:rPr>
                <w:sz w:val="20"/>
                <w:szCs w:val="20"/>
                <w:color w:val="auto"/>
              </w:rPr>
            </w:pPr>
          </w:p>
        </w:tc>
        <w:tc>
          <w:tcPr>
            <w:tcW w:w="42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4"/>
                <w:szCs w:val="14"/>
                <w:b w:val="1"/>
                <w:bCs w:val="1"/>
                <w:color w:val="auto"/>
              </w:rPr>
              <w:t xml:space="preserve">  ​​</w:t>
            </w:r>
          </w:p>
        </w:tc>
        <w:tc>
          <w:tcPr>
            <w:tcW w:w="80" w:type="dxa"/>
            <w:vAlign w:val="bottom"/>
          </w:tcPr>
          <w:p>
            <w:pPr>
              <w:spacing w:after="0"/>
              <w:rPr>
                <w:sz w:val="20"/>
                <w:szCs w:val="20"/>
                <w:color w:val="auto"/>
              </w:rPr>
            </w:pP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4"/>
                <w:szCs w:val="14"/>
                <w:b w:val="1"/>
                <w:bCs w:val="1"/>
                <w:color w:val="auto"/>
              </w:rPr>
              <w:t xml:space="preserve">  ​</w:t>
            </w: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 except for percentages)</w:t>
            </w:r>
          </w:p>
        </w:tc>
        <w:tc>
          <w:tcPr>
            <w:tcW w:w="6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 from franchised teahouses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410,261​​​​</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4,395,908​​​​</w:t>
            </w:r>
          </w:p>
        </w:tc>
        <w:tc>
          <w:tcPr>
            <w:tcW w:w="2160" w:type="dxa"/>
            <w:vAlign w:val="bottom"/>
            <w:tcBorders>
              <w:right w:val="single" w:sz="8" w:color="CCEEFF"/>
            </w:tcBorders>
            <w:gridSpan w:val="8"/>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94.7​​​​11,632,374​​​​1,593,629​​​​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93.8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Net revenues from company-owned teahouses</w:t>
            </w:r>
          </w:p>
        </w:tc>
        <w:tc>
          <w:tcPr>
            <w:tcW w:w="1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perscript"/>
              </w:rPr>
              <w:t>​</w:t>
            </w:r>
          </w:p>
        </w:tc>
        <w:tc>
          <w:tcPr>
            <w:tcW w:w="72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5"/>
                <w:szCs w:val="15"/>
                <w:color w:val="auto"/>
              </w:rPr>
              <w:t>81,392</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52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5"/>
                <w:szCs w:val="15"/>
                <w:color w:val="auto"/>
              </w:rPr>
              <w:t>16.6</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84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5"/>
                <w:szCs w:val="15"/>
                <w:color w:val="auto"/>
              </w:rPr>
              <w:t>244,263</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1360" w:type="dxa"/>
            <w:vAlign w:val="bottom"/>
            <w:gridSpan w:val="6"/>
          </w:tcPr>
          <w:p>
            <w:pPr>
              <w:jc w:val="right"/>
              <w:spacing w:after="0" w:line="256" w:lineRule="exact"/>
              <w:rPr>
                <w:sz w:val="20"/>
                <w:szCs w:val="20"/>
                <w:color w:val="auto"/>
              </w:rPr>
            </w:pPr>
            <w:r>
              <w:rPr>
                <w:rFonts w:ascii="Times New Roman" w:cs="Times New Roman" w:eastAsia="Times New Roman" w:hAnsi="Times New Roman"/>
                <w:sz w:val="15"/>
                <w:szCs w:val="15"/>
                <w:color w:val="auto"/>
              </w:rPr>
              <w:t>5.3</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773,208</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1160" w:type="dxa"/>
            <w:vAlign w:val="bottom"/>
            <w:gridSpan w:val="4"/>
          </w:tcPr>
          <w:p>
            <w:pPr>
              <w:jc w:val="right"/>
              <w:spacing w:after="0" w:line="256" w:lineRule="exact"/>
              <w:rPr>
                <w:sz w:val="20"/>
                <w:szCs w:val="20"/>
                <w:color w:val="auto"/>
              </w:rPr>
            </w:pPr>
            <w:r>
              <w:rPr>
                <w:rFonts w:ascii="Times New Roman" w:cs="Times New Roman" w:eastAsia="Times New Roman" w:hAnsi="Times New Roman"/>
                <w:sz w:val="15"/>
                <w:szCs w:val="15"/>
                <w:color w:val="auto"/>
              </w:rPr>
              <w:t>105,929</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6.2</w:t>
            </w:r>
            <w:r>
              <w:rPr>
                <w:rFonts w:ascii="Times New Roman" w:cs="Times New Roman" w:eastAsia="Times New Roman" w:hAnsi="Times New Roman"/>
                <w:sz w:val="29"/>
                <w:szCs w:val="29"/>
                <w:color w:val="auto"/>
                <w:vertAlign w:val="subscript"/>
              </w:rPr>
              <w:t>​</w:t>
            </w: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net revenues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491,653​​​​100.0​​​​</w:t>
            </w:r>
          </w:p>
        </w:tc>
        <w:tc>
          <w:tcPr>
            <w:tcW w:w="3300" w:type="dxa"/>
            <w:vAlign w:val="bottom"/>
            <w:gridSpan w:val="1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4,640,171​​​​100.0​​​​12,405,582​​​​1,699,558​​​​100.0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75"/>
        </w:trPr>
        <w:tc>
          <w:tcPr>
            <w:tcW w:w="35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Cost of materials</w:t>
            </w:r>
          </w:p>
        </w:tc>
        <w:tc>
          <w:tcPr>
            <w:tcW w:w="820" w:type="dxa"/>
            <w:vAlign w:val="bottom"/>
            <w:gridSpan w:val="4"/>
          </w:tcPr>
          <w:p>
            <w:pPr>
              <w:jc w:val="right"/>
              <w:ind w:right="26"/>
              <w:spacing w:after="0" w:line="175" w:lineRule="exact"/>
              <w:rPr>
                <w:sz w:val="20"/>
                <w:szCs w:val="20"/>
                <w:color w:val="auto"/>
              </w:rPr>
            </w:pPr>
            <w:r>
              <w:rPr>
                <w:rFonts w:ascii="Times New Roman" w:cs="Times New Roman" w:eastAsia="Times New Roman" w:hAnsi="Times New Roman"/>
                <w:sz w:val="16"/>
                <w:szCs w:val="16"/>
                <w:color w:val="auto"/>
              </w:rPr>
              <w:t>(291,230)</w:t>
            </w:r>
          </w:p>
        </w:tc>
        <w:tc>
          <w:tcPr>
            <w:tcW w:w="60" w:type="dxa"/>
            <w:vAlign w:val="bottom"/>
          </w:tcPr>
          <w:p>
            <w:pPr>
              <w:spacing w:after="0"/>
              <w:rPr>
                <w:sz w:val="15"/>
                <w:szCs w:val="15"/>
                <w:color w:val="auto"/>
              </w:rPr>
            </w:pPr>
          </w:p>
        </w:tc>
        <w:tc>
          <w:tcPr>
            <w:tcW w:w="2640" w:type="dxa"/>
            <w:vAlign w:val="bottom"/>
            <w:gridSpan w:val="11"/>
          </w:tcPr>
          <w:p>
            <w:pPr>
              <w:jc w:val="right"/>
              <w:ind w:right="13"/>
              <w:spacing w:after="0" w:line="175" w:lineRule="exact"/>
              <w:rPr>
                <w:sz w:val="20"/>
                <w:szCs w:val="20"/>
                <w:color w:val="auto"/>
              </w:rPr>
            </w:pPr>
            <w:r>
              <w:rPr>
                <w:rFonts w:ascii="Times New Roman" w:cs="Times New Roman" w:eastAsia="Times New Roman" w:hAnsi="Times New Roman"/>
                <w:sz w:val="16"/>
                <w:szCs w:val="16"/>
                <w:color w:val="auto"/>
              </w:rPr>
              <w:t>(59.2) (2,462,387) (53.1) (6,012,922)</w:t>
            </w:r>
          </w:p>
        </w:tc>
        <w:tc>
          <w:tcPr>
            <w:tcW w:w="80" w:type="dxa"/>
            <w:vAlign w:val="bottom"/>
          </w:tcPr>
          <w:p>
            <w:pPr>
              <w:spacing w:after="0"/>
              <w:rPr>
                <w:sz w:val="15"/>
                <w:szCs w:val="15"/>
                <w:color w:val="auto"/>
              </w:rPr>
            </w:pPr>
          </w:p>
        </w:tc>
        <w:tc>
          <w:tcPr>
            <w:tcW w:w="800" w:type="dxa"/>
            <w:vAlign w:val="bottom"/>
            <w:gridSpan w:val="2"/>
          </w:tcPr>
          <w:p>
            <w:pPr>
              <w:jc w:val="right"/>
              <w:ind w:right="76"/>
              <w:spacing w:after="0" w:line="175" w:lineRule="exact"/>
              <w:rPr>
                <w:sz w:val="20"/>
                <w:szCs w:val="20"/>
                <w:color w:val="auto"/>
              </w:rPr>
            </w:pPr>
            <w:r>
              <w:rPr>
                <w:rFonts w:ascii="Times New Roman" w:cs="Times New Roman" w:eastAsia="Times New Roman" w:hAnsi="Times New Roman"/>
                <w:sz w:val="16"/>
                <w:szCs w:val="16"/>
                <w:color w:val="auto"/>
              </w:rPr>
              <w:t>(823,767)</w:t>
            </w:r>
          </w:p>
        </w:tc>
        <w:tc>
          <w:tcPr>
            <w:tcW w:w="36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w w:val="87"/>
              </w:rPr>
              <w:t>(48.4)</w:t>
            </w:r>
          </w:p>
        </w:tc>
        <w:tc>
          <w:tcPr>
            <w:tcW w:w="0" w:type="dxa"/>
            <w:vAlign w:val="bottom"/>
          </w:tcPr>
          <w:p>
            <w:pPr>
              <w:spacing w:after="0"/>
              <w:rPr>
                <w:sz w:val="1"/>
                <w:szCs w:val="1"/>
                <w:color w:val="auto"/>
              </w:rPr>
            </w:pPr>
          </w:p>
        </w:tc>
      </w:tr>
      <w:tr>
        <w:trPr>
          <w:trHeight w:val="68"/>
        </w:trPr>
        <w:tc>
          <w:tcPr>
            <w:tcW w:w="3500" w:type="dxa"/>
            <w:vAlign w:val="bottom"/>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spacing w:after="0"/>
              <w:rPr>
                <w:sz w:val="5"/>
                <w:szCs w:val="5"/>
                <w:color w:val="auto"/>
              </w:rPr>
            </w:pP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tcPr>
          <w:p>
            <w:pPr>
              <w:spacing w:after="0"/>
              <w:rPr>
                <w:sz w:val="5"/>
                <w:szCs w:val="5"/>
                <w:color w:val="auto"/>
              </w:rPr>
            </w:pP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2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Company-owned teahouse operating costs</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26"/>
              <w:spacing w:after="0" w:line="175" w:lineRule="exact"/>
              <w:rPr>
                <w:sz w:val="20"/>
                <w:szCs w:val="20"/>
                <w:color w:val="auto"/>
              </w:rPr>
            </w:pPr>
            <w:r>
              <w:rPr>
                <w:rFonts w:ascii="Times New Roman" w:cs="Times New Roman" w:eastAsia="Times New Roman" w:hAnsi="Times New Roman"/>
                <w:sz w:val="16"/>
                <w:szCs w:val="16"/>
                <w:color w:val="auto"/>
              </w:rPr>
              <w:t>(54,901)</w:t>
            </w:r>
          </w:p>
        </w:tc>
        <w:tc>
          <w:tcPr>
            <w:tcW w:w="60" w:type="dxa"/>
            <w:vAlign w:val="bottom"/>
            <w:shd w:val="clear" w:color="auto" w:fill="CCEEFF"/>
          </w:tcPr>
          <w:p>
            <w:pPr>
              <w:spacing w:after="0"/>
              <w:rPr>
                <w:sz w:val="15"/>
                <w:szCs w:val="15"/>
                <w:color w:val="auto"/>
              </w:rPr>
            </w:pPr>
          </w:p>
        </w:tc>
        <w:tc>
          <w:tcPr>
            <w:tcW w:w="480" w:type="dxa"/>
            <w:vAlign w:val="bottom"/>
            <w:tcBorders>
              <w:right w:val="single" w:sz="8" w:color="CCEEFF"/>
            </w:tcBorders>
            <w:gridSpan w:val="2"/>
            <w:shd w:val="clear" w:color="auto" w:fill="CCEEFF"/>
          </w:tcPr>
          <w:p>
            <w:pPr>
              <w:jc w:val="right"/>
              <w:ind w:right="21"/>
              <w:spacing w:after="0" w:line="175" w:lineRule="exact"/>
              <w:rPr>
                <w:sz w:val="20"/>
                <w:szCs w:val="20"/>
                <w:color w:val="auto"/>
              </w:rPr>
            </w:pPr>
            <w:r>
              <w:rPr>
                <w:rFonts w:ascii="Times New Roman" w:cs="Times New Roman" w:eastAsia="Times New Roman" w:hAnsi="Times New Roman"/>
                <w:sz w:val="16"/>
                <w:szCs w:val="16"/>
                <w:color w:val="auto"/>
              </w:rPr>
              <w:t>(11.2)</w:t>
            </w:r>
          </w:p>
        </w:tc>
        <w:tc>
          <w:tcPr>
            <w:tcW w:w="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(106,379)</w:t>
            </w:r>
          </w:p>
        </w:tc>
        <w:tc>
          <w:tcPr>
            <w:tcW w:w="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
              <w:spacing w:after="0" w:line="175" w:lineRule="exact"/>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3"/>
              <w:spacing w:after="0" w:line="175" w:lineRule="exact"/>
              <w:rPr>
                <w:sz w:val="20"/>
                <w:szCs w:val="20"/>
                <w:color w:val="auto"/>
              </w:rPr>
            </w:pPr>
            <w:r>
              <w:rPr>
                <w:rFonts w:ascii="Times New Roman" w:cs="Times New Roman" w:eastAsia="Times New Roman" w:hAnsi="Times New Roman"/>
                <w:sz w:val="16"/>
                <w:szCs w:val="16"/>
                <w:color w:val="auto"/>
              </w:rPr>
              <w:t>(467,320)</w:t>
            </w:r>
          </w:p>
        </w:tc>
        <w:tc>
          <w:tcPr>
            <w:tcW w:w="80" w:type="dxa"/>
            <w:vAlign w:val="bottom"/>
            <w:shd w:val="clear" w:color="auto" w:fill="CCEEFF"/>
          </w:tcPr>
          <w:p>
            <w:pPr>
              <w:spacing w:after="0"/>
              <w:rPr>
                <w:sz w:val="15"/>
                <w:szCs w:val="15"/>
                <w:color w:val="auto"/>
              </w:rPr>
            </w:pPr>
          </w:p>
        </w:tc>
        <w:tc>
          <w:tcPr>
            <w:tcW w:w="800" w:type="dxa"/>
            <w:vAlign w:val="bottom"/>
            <w:tcBorders>
              <w:right w:val="single" w:sz="8" w:color="CCEEFF"/>
            </w:tcBorders>
            <w:gridSpan w:val="2"/>
            <w:shd w:val="clear" w:color="auto" w:fill="CCEEFF"/>
          </w:tcPr>
          <w:p>
            <w:pPr>
              <w:jc w:val="right"/>
              <w:ind w:right="76"/>
              <w:spacing w:after="0" w:line="175" w:lineRule="exact"/>
              <w:rPr>
                <w:sz w:val="20"/>
                <w:szCs w:val="20"/>
                <w:color w:val="auto"/>
              </w:rPr>
            </w:pPr>
            <w:r>
              <w:rPr>
                <w:rFonts w:ascii="Times New Roman" w:cs="Times New Roman" w:eastAsia="Times New Roman" w:hAnsi="Times New Roman"/>
                <w:sz w:val="16"/>
                <w:szCs w:val="16"/>
                <w:color w:val="auto"/>
              </w:rPr>
              <w:t>(64,023)</w:t>
            </w:r>
          </w:p>
        </w:tc>
        <w:tc>
          <w:tcPr>
            <w:tcW w:w="3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w:t>
            </w:r>
          </w:p>
        </w:tc>
        <w:tc>
          <w:tcPr>
            <w:tcW w:w="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3500" w:type="dxa"/>
            <w:vAlign w:val="bottom"/>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shd w:val="clear" w:color="auto" w:fill="CCEEFF"/>
          </w:tcPr>
          <w:p>
            <w:pPr>
              <w:spacing w:after="0"/>
              <w:rPr>
                <w:sz w:val="5"/>
                <w:szCs w:val="5"/>
                <w:color w:val="auto"/>
              </w:rPr>
            </w:pPr>
          </w:p>
        </w:tc>
        <w:tc>
          <w:tcPr>
            <w:tcW w:w="16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shd w:val="clear" w:color="auto" w:fill="CCEEFF"/>
          </w:tcPr>
          <w:p>
            <w:pPr>
              <w:spacing w:after="0"/>
              <w:rPr>
                <w:sz w:val="5"/>
                <w:szCs w:val="5"/>
                <w:color w:val="auto"/>
              </w:rPr>
            </w:pPr>
          </w:p>
        </w:tc>
        <w:tc>
          <w:tcPr>
            <w:tcW w:w="1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shd w:val="clear" w:color="auto" w:fill="CCEEFF"/>
          </w:tcPr>
          <w:p>
            <w:pPr>
              <w:spacing w:after="0"/>
              <w:rPr>
                <w:sz w:val="5"/>
                <w:szCs w:val="5"/>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shd w:val="clear" w:color="auto" w:fill="CCEEFF"/>
          </w:tcPr>
          <w:p>
            <w:pPr>
              <w:spacing w:after="0"/>
              <w:rPr>
                <w:sz w:val="5"/>
                <w:szCs w:val="5"/>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20" w:type="dxa"/>
            <w:vAlign w:val="bottom"/>
            <w:shd w:val="clear" w:color="auto" w:fill="CCEEFF"/>
          </w:tcPr>
          <w:p>
            <w:pPr>
              <w:spacing w:after="0"/>
              <w:rPr>
                <w:sz w:val="5"/>
                <w:szCs w:val="5"/>
                <w:color w:val="auto"/>
              </w:rPr>
            </w:pPr>
          </w:p>
        </w:tc>
        <w:tc>
          <w:tcPr>
            <w:tcW w:w="180" w:type="dxa"/>
            <w:vAlign w:val="bottom"/>
            <w:tcBorders>
              <w:righ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shd w:val="clear" w:color="auto" w:fill="CCEEFF"/>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75"/>
        </w:trPr>
        <w:tc>
          <w:tcPr>
            <w:tcW w:w="35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Storage and logistics costs</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6"/>
              <w:spacing w:after="0" w:line="175" w:lineRule="exact"/>
              <w:rPr>
                <w:sz w:val="20"/>
                <w:szCs w:val="20"/>
                <w:color w:val="auto"/>
              </w:rPr>
            </w:pPr>
            <w:r>
              <w:rPr>
                <w:rFonts w:ascii="Times New Roman" w:cs="Times New Roman" w:eastAsia="Times New Roman" w:hAnsi="Times New Roman"/>
                <w:sz w:val="16"/>
                <w:szCs w:val="16"/>
                <w:color w:val="auto"/>
              </w:rPr>
              <w:t>(12,453)</w:t>
            </w:r>
          </w:p>
        </w:tc>
        <w:tc>
          <w:tcPr>
            <w:tcW w:w="60" w:type="dxa"/>
            <w:vAlign w:val="bottom"/>
          </w:tcPr>
          <w:p>
            <w:pPr>
              <w:spacing w:after="0"/>
              <w:rPr>
                <w:sz w:val="15"/>
                <w:szCs w:val="15"/>
                <w:color w:val="auto"/>
              </w:rPr>
            </w:pPr>
          </w:p>
        </w:tc>
        <w:tc>
          <w:tcPr>
            <w:tcW w:w="480" w:type="dxa"/>
            <w:vAlign w:val="bottom"/>
            <w:gridSpan w:val="2"/>
          </w:tcPr>
          <w:p>
            <w:pPr>
              <w:jc w:val="right"/>
              <w:ind w:right="21"/>
              <w:spacing w:after="0" w:line="175" w:lineRule="exact"/>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15"/>
                <w:szCs w:val="15"/>
                <w:color w:val="auto"/>
              </w:rPr>
            </w:pPr>
          </w:p>
        </w:tc>
        <w:tc>
          <w:tcPr>
            <w:tcW w:w="780" w:type="dxa"/>
            <w:vAlign w:val="bottom"/>
            <w:gridSpan w:val="2"/>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(99,867)</w:t>
            </w:r>
          </w:p>
        </w:tc>
        <w:tc>
          <w:tcPr>
            <w:tcW w:w="60" w:type="dxa"/>
            <w:vAlign w:val="bottom"/>
          </w:tcPr>
          <w:p>
            <w:pPr>
              <w:spacing w:after="0"/>
              <w:rPr>
                <w:sz w:val="15"/>
                <w:szCs w:val="15"/>
                <w:color w:val="auto"/>
              </w:rPr>
            </w:pPr>
          </w:p>
        </w:tc>
        <w:tc>
          <w:tcPr>
            <w:tcW w:w="420" w:type="dxa"/>
            <w:vAlign w:val="bottom"/>
            <w:gridSpan w:val="2"/>
          </w:tcPr>
          <w:p>
            <w:pPr>
              <w:jc w:val="right"/>
              <w:ind w:right="16"/>
              <w:spacing w:after="0" w:line="175" w:lineRule="exact"/>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5"/>
                <w:szCs w:val="15"/>
                <w:color w:val="auto"/>
              </w:rPr>
            </w:pPr>
          </w:p>
        </w:tc>
        <w:tc>
          <w:tcPr>
            <w:tcW w:w="780" w:type="dxa"/>
            <w:vAlign w:val="bottom"/>
            <w:gridSpan w:val="2"/>
          </w:tcPr>
          <w:p>
            <w:pPr>
              <w:jc w:val="right"/>
              <w:ind w:right="13"/>
              <w:spacing w:after="0" w:line="175" w:lineRule="exact"/>
              <w:rPr>
                <w:sz w:val="20"/>
                <w:szCs w:val="20"/>
                <w:color w:val="auto"/>
              </w:rPr>
            </w:pPr>
            <w:r>
              <w:rPr>
                <w:rFonts w:ascii="Times New Roman" w:cs="Times New Roman" w:eastAsia="Times New Roman" w:hAnsi="Times New Roman"/>
                <w:sz w:val="16"/>
                <w:szCs w:val="16"/>
                <w:color w:val="auto"/>
              </w:rPr>
              <w:t>(243,822)</w:t>
            </w:r>
          </w:p>
        </w:tc>
        <w:tc>
          <w:tcPr>
            <w:tcW w:w="80" w:type="dxa"/>
            <w:vAlign w:val="bottom"/>
          </w:tcPr>
          <w:p>
            <w:pPr>
              <w:spacing w:after="0"/>
              <w:rPr>
                <w:sz w:val="15"/>
                <w:szCs w:val="15"/>
                <w:color w:val="auto"/>
              </w:rPr>
            </w:pPr>
          </w:p>
        </w:tc>
        <w:tc>
          <w:tcPr>
            <w:tcW w:w="800" w:type="dxa"/>
            <w:vAlign w:val="bottom"/>
            <w:gridSpan w:val="2"/>
          </w:tcPr>
          <w:p>
            <w:pPr>
              <w:jc w:val="right"/>
              <w:ind w:right="76"/>
              <w:spacing w:after="0" w:line="175" w:lineRule="exact"/>
              <w:rPr>
                <w:sz w:val="20"/>
                <w:szCs w:val="20"/>
                <w:color w:val="auto"/>
              </w:rPr>
            </w:pPr>
            <w:r>
              <w:rPr>
                <w:rFonts w:ascii="Times New Roman" w:cs="Times New Roman" w:eastAsia="Times New Roman" w:hAnsi="Times New Roman"/>
                <w:sz w:val="16"/>
                <w:szCs w:val="16"/>
                <w:color w:val="auto"/>
              </w:rPr>
              <w:t>(33,403)</w:t>
            </w:r>
          </w:p>
        </w:tc>
        <w:tc>
          <w:tcPr>
            <w:tcW w:w="36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68"/>
        </w:trPr>
        <w:tc>
          <w:tcPr>
            <w:tcW w:w="350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tcPr>
          <w:p>
            <w:pPr>
              <w:spacing w:after="0"/>
              <w:rPr>
                <w:sz w:val="5"/>
                <w:szCs w:val="5"/>
                <w:color w:val="auto"/>
              </w:rPr>
            </w:pP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2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Other operating costs</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26"/>
              <w:spacing w:after="0" w:line="175" w:lineRule="exact"/>
              <w:rPr>
                <w:sz w:val="20"/>
                <w:szCs w:val="20"/>
                <w:color w:val="auto"/>
              </w:rPr>
            </w:pPr>
            <w:r>
              <w:rPr>
                <w:rFonts w:ascii="Times New Roman" w:cs="Times New Roman" w:eastAsia="Times New Roman" w:hAnsi="Times New Roman"/>
                <w:sz w:val="16"/>
                <w:szCs w:val="16"/>
                <w:color w:val="auto"/>
              </w:rPr>
              <w:t>(75,775)</w:t>
            </w:r>
          </w:p>
        </w:tc>
        <w:tc>
          <w:tcPr>
            <w:tcW w:w="60" w:type="dxa"/>
            <w:vAlign w:val="bottom"/>
            <w:shd w:val="clear" w:color="auto" w:fill="CCEEFF"/>
          </w:tcPr>
          <w:p>
            <w:pPr>
              <w:spacing w:after="0"/>
              <w:rPr>
                <w:sz w:val="15"/>
                <w:szCs w:val="15"/>
                <w:color w:val="auto"/>
              </w:rPr>
            </w:pPr>
          </w:p>
        </w:tc>
        <w:tc>
          <w:tcPr>
            <w:tcW w:w="480" w:type="dxa"/>
            <w:vAlign w:val="bottom"/>
            <w:tcBorders>
              <w:right w:val="single" w:sz="8" w:color="CCEEFF"/>
            </w:tcBorders>
            <w:gridSpan w:val="2"/>
            <w:shd w:val="clear" w:color="auto" w:fill="CCEEFF"/>
          </w:tcPr>
          <w:p>
            <w:pPr>
              <w:jc w:val="right"/>
              <w:ind w:right="21"/>
              <w:spacing w:after="0" w:line="175" w:lineRule="exact"/>
              <w:rPr>
                <w:sz w:val="20"/>
                <w:szCs w:val="20"/>
                <w:color w:val="auto"/>
              </w:rPr>
            </w:pPr>
            <w:r>
              <w:rPr>
                <w:rFonts w:ascii="Times New Roman" w:cs="Times New Roman" w:eastAsia="Times New Roman" w:hAnsi="Times New Roman"/>
                <w:sz w:val="16"/>
                <w:szCs w:val="16"/>
                <w:color w:val="auto"/>
              </w:rPr>
              <w:t>(15.4)</w:t>
            </w:r>
          </w:p>
        </w:tc>
        <w:tc>
          <w:tcPr>
            <w:tcW w:w="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(272,773)</w:t>
            </w:r>
          </w:p>
        </w:tc>
        <w:tc>
          <w:tcPr>
            <w:tcW w:w="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
              <w:spacing w:after="0" w:line="175" w:lineRule="exact"/>
              <w:rPr>
                <w:sz w:val="20"/>
                <w:szCs w:val="20"/>
                <w:color w:val="auto"/>
              </w:rPr>
            </w:pPr>
            <w:r>
              <w:rPr>
                <w:rFonts w:ascii="Times New Roman" w:cs="Times New Roman" w:eastAsia="Times New Roman" w:hAnsi="Times New Roman"/>
                <w:sz w:val="16"/>
                <w:szCs w:val="16"/>
                <w:color w:val="auto"/>
              </w:rPr>
              <w:t>(5.9)</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3"/>
              <w:spacing w:after="0" w:line="175" w:lineRule="exact"/>
              <w:rPr>
                <w:sz w:val="20"/>
                <w:szCs w:val="20"/>
                <w:color w:val="auto"/>
              </w:rPr>
            </w:pPr>
            <w:r>
              <w:rPr>
                <w:rFonts w:ascii="Times New Roman" w:cs="Times New Roman" w:eastAsia="Times New Roman" w:hAnsi="Times New Roman"/>
                <w:sz w:val="16"/>
                <w:szCs w:val="16"/>
                <w:color w:val="auto"/>
              </w:rPr>
              <w:t>(572,621)</w:t>
            </w:r>
          </w:p>
        </w:tc>
        <w:tc>
          <w:tcPr>
            <w:tcW w:w="80" w:type="dxa"/>
            <w:vAlign w:val="bottom"/>
            <w:shd w:val="clear" w:color="auto" w:fill="CCEEFF"/>
          </w:tcPr>
          <w:p>
            <w:pPr>
              <w:spacing w:after="0"/>
              <w:rPr>
                <w:sz w:val="15"/>
                <w:szCs w:val="15"/>
                <w:color w:val="auto"/>
              </w:rPr>
            </w:pPr>
          </w:p>
        </w:tc>
        <w:tc>
          <w:tcPr>
            <w:tcW w:w="800" w:type="dxa"/>
            <w:vAlign w:val="bottom"/>
            <w:tcBorders>
              <w:right w:val="single" w:sz="8" w:color="CCEEFF"/>
            </w:tcBorders>
            <w:gridSpan w:val="2"/>
            <w:shd w:val="clear" w:color="auto" w:fill="CCEEFF"/>
          </w:tcPr>
          <w:p>
            <w:pPr>
              <w:jc w:val="right"/>
              <w:ind w:right="76"/>
              <w:spacing w:after="0" w:line="175" w:lineRule="exact"/>
              <w:rPr>
                <w:sz w:val="20"/>
                <w:szCs w:val="20"/>
                <w:color w:val="auto"/>
              </w:rPr>
            </w:pPr>
            <w:r>
              <w:rPr>
                <w:rFonts w:ascii="Times New Roman" w:cs="Times New Roman" w:eastAsia="Times New Roman" w:hAnsi="Times New Roman"/>
                <w:sz w:val="16"/>
                <w:szCs w:val="16"/>
                <w:color w:val="auto"/>
              </w:rPr>
              <w:t>(78,449)</w:t>
            </w:r>
          </w:p>
        </w:tc>
        <w:tc>
          <w:tcPr>
            <w:tcW w:w="3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(4.6</w:t>
            </w:r>
          </w:p>
        </w:tc>
        <w:tc>
          <w:tcPr>
            <w:tcW w:w="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3500" w:type="dxa"/>
            <w:vAlign w:val="bottom"/>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shd w:val="clear" w:color="auto" w:fill="CCEEFF"/>
          </w:tcPr>
          <w:p>
            <w:pPr>
              <w:spacing w:after="0"/>
              <w:rPr>
                <w:sz w:val="5"/>
                <w:szCs w:val="5"/>
                <w:color w:val="auto"/>
              </w:rPr>
            </w:pPr>
          </w:p>
        </w:tc>
        <w:tc>
          <w:tcPr>
            <w:tcW w:w="16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shd w:val="clear" w:color="auto" w:fill="CCEEFF"/>
          </w:tcPr>
          <w:p>
            <w:pPr>
              <w:spacing w:after="0"/>
              <w:rPr>
                <w:sz w:val="5"/>
                <w:szCs w:val="5"/>
                <w:color w:val="auto"/>
              </w:rPr>
            </w:pPr>
          </w:p>
        </w:tc>
        <w:tc>
          <w:tcPr>
            <w:tcW w:w="1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shd w:val="clear" w:color="auto" w:fill="CCEEFF"/>
          </w:tcPr>
          <w:p>
            <w:pPr>
              <w:spacing w:after="0"/>
              <w:rPr>
                <w:sz w:val="5"/>
                <w:szCs w:val="5"/>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shd w:val="clear" w:color="auto" w:fill="CCEEFF"/>
          </w:tcPr>
          <w:p>
            <w:pPr>
              <w:spacing w:after="0"/>
              <w:rPr>
                <w:sz w:val="5"/>
                <w:szCs w:val="5"/>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20" w:type="dxa"/>
            <w:vAlign w:val="bottom"/>
            <w:shd w:val="clear" w:color="auto" w:fill="CCEEFF"/>
          </w:tcPr>
          <w:p>
            <w:pPr>
              <w:spacing w:after="0"/>
              <w:rPr>
                <w:sz w:val="5"/>
                <w:szCs w:val="5"/>
                <w:color w:val="auto"/>
              </w:rPr>
            </w:pPr>
          </w:p>
        </w:tc>
        <w:tc>
          <w:tcPr>
            <w:tcW w:w="180" w:type="dxa"/>
            <w:vAlign w:val="bottom"/>
            <w:tcBorders>
              <w:righ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shd w:val="clear" w:color="auto" w:fill="CCEEFF"/>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76"/>
        </w:trPr>
        <w:tc>
          <w:tcPr>
            <w:tcW w:w="35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Sales and marketing expenses</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6"/>
              <w:spacing w:after="0" w:line="175" w:lineRule="exact"/>
              <w:rPr>
                <w:sz w:val="20"/>
                <w:szCs w:val="20"/>
                <w:color w:val="auto"/>
              </w:rPr>
            </w:pPr>
            <w:r>
              <w:rPr>
                <w:rFonts w:ascii="Times New Roman" w:cs="Times New Roman" w:eastAsia="Times New Roman" w:hAnsi="Times New Roman"/>
                <w:sz w:val="16"/>
                <w:szCs w:val="16"/>
                <w:color w:val="auto"/>
              </w:rPr>
              <w:t>(73,605)</w:t>
            </w:r>
          </w:p>
        </w:tc>
        <w:tc>
          <w:tcPr>
            <w:tcW w:w="60" w:type="dxa"/>
            <w:vAlign w:val="bottom"/>
          </w:tcPr>
          <w:p>
            <w:pPr>
              <w:spacing w:after="0"/>
              <w:rPr>
                <w:sz w:val="15"/>
                <w:szCs w:val="15"/>
                <w:color w:val="auto"/>
              </w:rPr>
            </w:pPr>
          </w:p>
        </w:tc>
        <w:tc>
          <w:tcPr>
            <w:tcW w:w="480" w:type="dxa"/>
            <w:vAlign w:val="bottom"/>
            <w:gridSpan w:val="2"/>
          </w:tcPr>
          <w:p>
            <w:pPr>
              <w:jc w:val="right"/>
              <w:ind w:right="21"/>
              <w:spacing w:after="0" w:line="175" w:lineRule="exact"/>
              <w:rPr>
                <w:sz w:val="20"/>
                <w:szCs w:val="20"/>
                <w:color w:val="auto"/>
              </w:rPr>
            </w:pPr>
            <w:r>
              <w:rPr>
                <w:rFonts w:ascii="Times New Roman" w:cs="Times New Roman" w:eastAsia="Times New Roman" w:hAnsi="Times New Roman"/>
                <w:sz w:val="16"/>
                <w:szCs w:val="16"/>
                <w:color w:val="auto"/>
              </w:rPr>
              <w:t>(15.0)</w:t>
            </w:r>
          </w:p>
        </w:tc>
        <w:tc>
          <w:tcPr>
            <w:tcW w:w="40" w:type="dxa"/>
            <w:vAlign w:val="bottom"/>
          </w:tcPr>
          <w:p>
            <w:pPr>
              <w:spacing w:after="0"/>
              <w:rPr>
                <w:sz w:val="15"/>
                <w:szCs w:val="15"/>
                <w:color w:val="auto"/>
              </w:rPr>
            </w:pPr>
          </w:p>
        </w:tc>
        <w:tc>
          <w:tcPr>
            <w:tcW w:w="780" w:type="dxa"/>
            <w:vAlign w:val="bottom"/>
            <w:gridSpan w:val="2"/>
          </w:tcPr>
          <w:p>
            <w:pPr>
              <w:jc w:val="right"/>
              <w:ind w:right="18"/>
              <w:spacing w:after="0" w:line="175" w:lineRule="exact"/>
              <w:rPr>
                <w:sz w:val="20"/>
                <w:szCs w:val="20"/>
                <w:color w:val="auto"/>
              </w:rPr>
            </w:pPr>
            <w:r>
              <w:rPr>
                <w:rFonts w:ascii="Times New Roman" w:cs="Times New Roman" w:eastAsia="Times New Roman" w:hAnsi="Times New Roman"/>
                <w:sz w:val="16"/>
                <w:szCs w:val="16"/>
                <w:color w:val="auto"/>
              </w:rPr>
              <w:t>(261,563)</w:t>
            </w:r>
          </w:p>
        </w:tc>
        <w:tc>
          <w:tcPr>
            <w:tcW w:w="60" w:type="dxa"/>
            <w:vAlign w:val="bottom"/>
          </w:tcPr>
          <w:p>
            <w:pPr>
              <w:spacing w:after="0"/>
              <w:rPr>
                <w:sz w:val="15"/>
                <w:szCs w:val="15"/>
                <w:color w:val="auto"/>
              </w:rPr>
            </w:pPr>
          </w:p>
        </w:tc>
        <w:tc>
          <w:tcPr>
            <w:tcW w:w="420" w:type="dxa"/>
            <w:vAlign w:val="bottom"/>
            <w:gridSpan w:val="2"/>
          </w:tcPr>
          <w:p>
            <w:pPr>
              <w:jc w:val="right"/>
              <w:ind w:right="16"/>
              <w:spacing w:after="0" w:line="175" w:lineRule="exact"/>
              <w:rPr>
                <w:sz w:val="20"/>
                <w:szCs w:val="20"/>
                <w:color w:val="auto"/>
              </w:rPr>
            </w:pPr>
            <w:r>
              <w:rPr>
                <w:rFonts w:ascii="Times New Roman" w:cs="Times New Roman" w:eastAsia="Times New Roman" w:hAnsi="Times New Roman"/>
                <w:sz w:val="16"/>
                <w:szCs w:val="16"/>
                <w:color w:val="auto"/>
              </w:rPr>
              <w:t>(5.6)</w:t>
            </w:r>
          </w:p>
        </w:tc>
        <w:tc>
          <w:tcPr>
            <w:tcW w:w="860" w:type="dxa"/>
            <w:vAlign w:val="bottom"/>
            <w:gridSpan w:val="3"/>
          </w:tcPr>
          <w:p>
            <w:pPr>
              <w:jc w:val="right"/>
              <w:ind w:right="13"/>
              <w:spacing w:after="0" w:line="175" w:lineRule="exact"/>
              <w:rPr>
                <w:sz w:val="20"/>
                <w:szCs w:val="20"/>
                <w:color w:val="auto"/>
              </w:rPr>
            </w:pPr>
            <w:r>
              <w:rPr>
                <w:rFonts w:ascii="Times New Roman" w:cs="Times New Roman" w:eastAsia="Times New Roman" w:hAnsi="Times New Roman"/>
                <w:sz w:val="16"/>
                <w:szCs w:val="16"/>
                <w:color w:val="auto"/>
              </w:rPr>
              <w:t>(1,108,911)</w:t>
            </w:r>
          </w:p>
        </w:tc>
        <w:tc>
          <w:tcPr>
            <w:tcW w:w="80" w:type="dxa"/>
            <w:vAlign w:val="bottom"/>
          </w:tcPr>
          <w:p>
            <w:pPr>
              <w:spacing w:after="0"/>
              <w:rPr>
                <w:sz w:val="15"/>
                <w:szCs w:val="15"/>
                <w:color w:val="auto"/>
              </w:rPr>
            </w:pPr>
          </w:p>
        </w:tc>
        <w:tc>
          <w:tcPr>
            <w:tcW w:w="800" w:type="dxa"/>
            <w:vAlign w:val="bottom"/>
            <w:gridSpan w:val="2"/>
          </w:tcPr>
          <w:p>
            <w:pPr>
              <w:jc w:val="right"/>
              <w:ind w:right="76"/>
              <w:spacing w:after="0" w:line="175" w:lineRule="exact"/>
              <w:rPr>
                <w:sz w:val="20"/>
                <w:szCs w:val="20"/>
                <w:color w:val="auto"/>
              </w:rPr>
            </w:pPr>
            <w:r>
              <w:rPr>
                <w:rFonts w:ascii="Times New Roman" w:cs="Times New Roman" w:eastAsia="Times New Roman" w:hAnsi="Times New Roman"/>
                <w:sz w:val="16"/>
                <w:szCs w:val="16"/>
                <w:color w:val="auto"/>
              </w:rPr>
              <w:t>(151,920)</w:t>
            </w:r>
          </w:p>
        </w:tc>
        <w:tc>
          <w:tcPr>
            <w:tcW w:w="36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68"/>
        </w:trPr>
        <w:tc>
          <w:tcPr>
            <w:tcW w:w="350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tcPr>
          <w:p>
            <w:pPr>
              <w:spacing w:after="0"/>
              <w:rPr>
                <w:sz w:val="5"/>
                <w:szCs w:val="5"/>
                <w:color w:val="auto"/>
              </w:rPr>
            </w:pP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2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(99,530)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right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(20.3)</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(363,099)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(7.8)</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​(1,113,387) ​</w:t>
            </w:r>
          </w:p>
        </w:tc>
        <w:tc>
          <w:tcPr>
            <w:tcW w:w="800" w:type="dxa"/>
            <w:vAlign w:val="bottom"/>
            <w:tcBorders>
              <w:right w:val="single" w:sz="8" w:color="CCEEFF"/>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rPr>
              <w:t>(152,533)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0"/>
              </w:rPr>
              <w:t>​ (9.0)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3500" w:type="dxa"/>
            <w:vAlign w:val="bottom"/>
            <w:shd w:val="clear" w:color="auto" w:fill="CCEEFF"/>
          </w:tcPr>
          <w:p>
            <w:pPr>
              <w:spacing w:after="0"/>
              <w:rPr>
                <w:sz w:val="5"/>
                <w:szCs w:val="5"/>
                <w:color w:val="auto"/>
              </w:rPr>
            </w:pPr>
          </w:p>
        </w:tc>
        <w:tc>
          <w:tcPr>
            <w:tcW w:w="16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40" w:type="dxa"/>
            <w:vAlign w:val="bottom"/>
            <w:shd w:val="clear" w:color="auto" w:fill="CCEEFF"/>
          </w:tcPr>
          <w:p>
            <w:pPr>
              <w:spacing w:after="0"/>
              <w:rPr>
                <w:sz w:val="5"/>
                <w:szCs w:val="5"/>
                <w:color w:val="auto"/>
              </w:rPr>
            </w:pPr>
          </w:p>
        </w:tc>
        <w:tc>
          <w:tcPr>
            <w:tcW w:w="1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shd w:val="clear" w:color="auto" w:fill="CCEEFF"/>
          </w:tcPr>
          <w:p>
            <w:pPr>
              <w:spacing w:after="0"/>
              <w:rPr>
                <w:sz w:val="5"/>
                <w:szCs w:val="5"/>
                <w:color w:val="auto"/>
              </w:rPr>
            </w:pPr>
          </w:p>
        </w:tc>
        <w:tc>
          <w:tcPr>
            <w:tcW w:w="16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shd w:val="clear" w:color="auto" w:fill="CCEEFF"/>
          </w:tcPr>
          <w:p>
            <w:pPr>
              <w:spacing w:after="0"/>
              <w:rPr>
                <w:sz w:val="5"/>
                <w:szCs w:val="5"/>
                <w:color w:val="auto"/>
              </w:rPr>
            </w:pPr>
          </w:p>
        </w:tc>
        <w:tc>
          <w:tcPr>
            <w:tcW w:w="1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shd w:val="clear" w:color="auto" w:fill="CCEEFF"/>
          </w:tcPr>
          <w:p>
            <w:pPr>
              <w:spacing w:after="0"/>
              <w:rPr>
                <w:sz w:val="5"/>
                <w:szCs w:val="5"/>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shd w:val="clear" w:color="auto" w:fill="CCEEFF"/>
          </w:tcPr>
          <w:p>
            <w:pPr>
              <w:spacing w:after="0"/>
              <w:rPr>
                <w:sz w:val="5"/>
                <w:szCs w:val="5"/>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20" w:type="dxa"/>
            <w:vAlign w:val="bottom"/>
            <w:shd w:val="clear" w:color="auto" w:fill="CCEEFF"/>
          </w:tcPr>
          <w:p>
            <w:pPr>
              <w:spacing w:after="0"/>
              <w:rPr>
                <w:sz w:val="5"/>
                <w:szCs w:val="5"/>
                <w:color w:val="auto"/>
              </w:rPr>
            </w:pPr>
          </w:p>
        </w:tc>
        <w:tc>
          <w:tcPr>
            <w:tcW w:w="180" w:type="dxa"/>
            <w:vAlign w:val="bottom"/>
            <w:tcBorders>
              <w:righ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shd w:val="clear" w:color="auto" w:fill="CCEEFF"/>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0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180" w:type="dxa"/>
            <w:vAlign w:val="bottom"/>
            <w:gridSpan w:val="10"/>
          </w:tcPr>
          <w:p>
            <w:pPr>
              <w:jc w:val="right"/>
              <w:ind w:right="18"/>
              <w:spacing w:after="0" w:line="169" w:lineRule="exact"/>
              <w:rPr>
                <w:sz w:val="20"/>
                <w:szCs w:val="20"/>
                <w:color w:val="auto"/>
              </w:rPr>
            </w:pPr>
            <w:r>
              <w:rPr>
                <w:rFonts w:ascii="Times New Roman" w:cs="Times New Roman" w:eastAsia="Times New Roman" w:hAnsi="Times New Roman"/>
                <w:sz w:val="16"/>
                <w:szCs w:val="16"/>
                <w:b w:val="1"/>
                <w:bCs w:val="1"/>
                <w:color w:val="auto"/>
              </w:rPr>
              <w:t>(607,494) (123.6) (3,566,068)</w:t>
            </w:r>
          </w:p>
        </w:tc>
        <w:tc>
          <w:tcPr>
            <w:tcW w:w="480" w:type="dxa"/>
            <w:vAlign w:val="bottom"/>
            <w:gridSpan w:val="3"/>
          </w:tcPr>
          <w:p>
            <w:pPr>
              <w:jc w:val="right"/>
              <w:ind w:right="16"/>
              <w:spacing w:after="0" w:line="169" w:lineRule="exact"/>
              <w:rPr>
                <w:sz w:val="20"/>
                <w:szCs w:val="20"/>
                <w:color w:val="auto"/>
              </w:rPr>
            </w:pPr>
            <w:r>
              <w:rPr>
                <w:rFonts w:ascii="Times New Roman" w:cs="Times New Roman" w:eastAsia="Times New Roman" w:hAnsi="Times New Roman"/>
                <w:sz w:val="16"/>
                <w:szCs w:val="16"/>
                <w:b w:val="1"/>
                <w:bCs w:val="1"/>
                <w:color w:val="auto"/>
              </w:rPr>
              <w:t>(76.9)</w:t>
            </w:r>
          </w:p>
        </w:tc>
        <w:tc>
          <w:tcPr>
            <w:tcW w:w="1740" w:type="dxa"/>
            <w:vAlign w:val="bottom"/>
            <w:gridSpan w:val="6"/>
          </w:tcPr>
          <w:p>
            <w:pPr>
              <w:jc w:val="right"/>
              <w:ind w:right="76"/>
              <w:spacing w:after="0" w:line="169" w:lineRule="exact"/>
              <w:rPr>
                <w:sz w:val="20"/>
                <w:szCs w:val="20"/>
                <w:color w:val="auto"/>
              </w:rPr>
            </w:pPr>
            <w:r>
              <w:rPr>
                <w:rFonts w:ascii="Times New Roman" w:cs="Times New Roman" w:eastAsia="Times New Roman" w:hAnsi="Times New Roman"/>
                <w:sz w:val="16"/>
                <w:szCs w:val="16"/>
                <w:b w:val="1"/>
                <w:bCs w:val="1"/>
                <w:color w:val="auto"/>
              </w:rPr>
              <w:t>(9,518,983) (1,304,095)</w:t>
            </w:r>
          </w:p>
        </w:tc>
        <w:tc>
          <w:tcPr>
            <w:tcW w:w="3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w w:val="87"/>
              </w:rPr>
              <w:t>(76.7)</w:t>
            </w:r>
          </w:p>
        </w:tc>
        <w:tc>
          <w:tcPr>
            <w:tcW w:w="0" w:type="dxa"/>
            <w:vAlign w:val="bottom"/>
          </w:tcPr>
          <w:p>
            <w:pPr>
              <w:spacing w:after="0"/>
              <w:rPr>
                <w:sz w:val="1"/>
                <w:szCs w:val="1"/>
                <w:color w:val="auto"/>
              </w:rPr>
            </w:pPr>
          </w:p>
        </w:tc>
      </w:tr>
      <w:tr>
        <w:trPr>
          <w:trHeight w:val="68"/>
        </w:trPr>
        <w:tc>
          <w:tcPr>
            <w:tcW w:w="3500" w:type="dxa"/>
            <w:vAlign w:val="bottom"/>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40" w:type="dxa"/>
            <w:vAlign w:val="bottom"/>
          </w:tcPr>
          <w:p>
            <w:pPr>
              <w:spacing w:after="0"/>
              <w:rPr>
                <w:sz w:val="5"/>
                <w:szCs w:val="5"/>
                <w:color w:val="auto"/>
              </w:rPr>
            </w:pP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360" w:type="dxa"/>
            <w:vAlign w:val="bottom"/>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60" w:type="dxa"/>
            <w:vAlign w:val="bottom"/>
          </w:tcPr>
          <w:p>
            <w:pPr>
              <w:spacing w:after="0"/>
              <w:rPr>
                <w:sz w:val="5"/>
                <w:szCs w:val="5"/>
                <w:color w:val="auto"/>
              </w:rPr>
            </w:pP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30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6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2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30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(Loss)/income from operations</w:t>
            </w:r>
          </w:p>
        </w:tc>
        <w:tc>
          <w:tcPr>
            <w:tcW w:w="820" w:type="dxa"/>
            <w:vAlign w:val="bottom"/>
            <w:gridSpan w:val="4"/>
            <w:shd w:val="clear" w:color="auto" w:fill="CCEEFF"/>
          </w:tcPr>
          <w:p>
            <w:pPr>
              <w:jc w:val="right"/>
              <w:ind w:right="26"/>
              <w:spacing w:after="0" w:line="175" w:lineRule="exact"/>
              <w:rPr>
                <w:sz w:val="20"/>
                <w:szCs w:val="20"/>
                <w:color w:val="auto"/>
              </w:rPr>
            </w:pPr>
            <w:r>
              <w:rPr>
                <w:rFonts w:ascii="Times New Roman" w:cs="Times New Roman" w:eastAsia="Times New Roman" w:hAnsi="Times New Roman"/>
                <w:sz w:val="16"/>
                <w:szCs w:val="16"/>
                <w:b w:val="1"/>
                <w:bCs w:val="1"/>
                <w:color w:val="auto"/>
              </w:rPr>
              <w:t>(115,841)</w:t>
            </w:r>
          </w:p>
        </w:tc>
        <w:tc>
          <w:tcPr>
            <w:tcW w:w="60" w:type="dxa"/>
            <w:vAlign w:val="bottom"/>
            <w:shd w:val="clear" w:color="auto" w:fill="CCEEFF"/>
          </w:tcPr>
          <w:p>
            <w:pPr>
              <w:spacing w:after="0"/>
              <w:rPr>
                <w:sz w:val="15"/>
                <w:szCs w:val="15"/>
                <w:color w:val="auto"/>
              </w:rPr>
            </w:pPr>
          </w:p>
        </w:tc>
        <w:tc>
          <w:tcPr>
            <w:tcW w:w="480" w:type="dxa"/>
            <w:vAlign w:val="bottom"/>
            <w:tcBorders>
              <w:right w:val="single" w:sz="8" w:color="CCEEFF"/>
            </w:tcBorders>
            <w:gridSpan w:val="2"/>
            <w:shd w:val="clear" w:color="auto" w:fill="CCEEFF"/>
          </w:tcPr>
          <w:p>
            <w:pPr>
              <w:jc w:val="right"/>
              <w:ind w:right="21"/>
              <w:spacing w:after="0" w:line="175" w:lineRule="exact"/>
              <w:rPr>
                <w:sz w:val="20"/>
                <w:szCs w:val="20"/>
                <w:color w:val="auto"/>
              </w:rPr>
            </w:pPr>
            <w:r>
              <w:rPr>
                <w:rFonts w:ascii="Times New Roman" w:cs="Times New Roman" w:eastAsia="Times New Roman" w:hAnsi="Times New Roman"/>
                <w:sz w:val="16"/>
                <w:szCs w:val="16"/>
                <w:b w:val="1"/>
                <w:bCs w:val="1"/>
                <w:color w:val="auto"/>
              </w:rPr>
              <w:t>(23.6)</w:t>
            </w: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99"/>
              </w:rPr>
              <w:t>1,074,103</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23.1</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99"/>
              </w:rPr>
              <w:t>2,886,599</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395,463</w:t>
            </w: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w w:val="99"/>
              </w:rPr>
              <w:t>23.3</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8"/>
        </w:trPr>
        <w:tc>
          <w:tcPr>
            <w:tcW w:w="3500" w:type="dxa"/>
            <w:vAlign w:val="bottom"/>
            <w:shd w:val="clear" w:color="auto" w:fill="CCEEFF"/>
          </w:tcPr>
          <w:p>
            <w:pPr>
              <w:spacing w:after="0"/>
              <w:rPr>
                <w:sz w:val="5"/>
                <w:szCs w:val="5"/>
                <w:color w:val="auto"/>
              </w:rPr>
            </w:pPr>
          </w:p>
        </w:tc>
        <w:tc>
          <w:tcPr>
            <w:tcW w:w="16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40" w:type="dxa"/>
            <w:vAlign w:val="bottom"/>
            <w:shd w:val="clear" w:color="auto" w:fill="CCEEFF"/>
          </w:tcPr>
          <w:p>
            <w:pPr>
              <w:spacing w:after="0"/>
              <w:rPr>
                <w:sz w:val="5"/>
                <w:szCs w:val="5"/>
                <w:color w:val="auto"/>
              </w:rPr>
            </w:pPr>
          </w:p>
        </w:tc>
        <w:tc>
          <w:tcPr>
            <w:tcW w:w="1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360" w:type="dxa"/>
            <w:vAlign w:val="bottom"/>
            <w:shd w:val="clear" w:color="auto" w:fill="CCEEFF"/>
          </w:tcPr>
          <w:p>
            <w:pPr>
              <w:spacing w:after="0"/>
              <w:rPr>
                <w:sz w:val="5"/>
                <w:szCs w:val="5"/>
                <w:color w:val="auto"/>
              </w:rPr>
            </w:pPr>
          </w:p>
        </w:tc>
        <w:tc>
          <w:tcPr>
            <w:tcW w:w="16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60" w:type="dxa"/>
            <w:vAlign w:val="bottom"/>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80" w:type="dxa"/>
            <w:vAlign w:val="bottom"/>
            <w:tcBorders>
              <w:right w:val="single" w:sz="8" w:color="CCEEFF"/>
            </w:tcBorders>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Fair value change of forward contract related to</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Series B+ preferred shares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(105,483​​​)</w:t>
            </w:r>
            <w:r>
              <w:rPr>
                <w:rFonts w:ascii="Times New Roman" w:cs="Times New Roman" w:eastAsia="Times New Roman" w:hAnsi="Times New Roman"/>
                <w:sz w:val="16"/>
                <w:szCs w:val="16"/>
                <w:b w:val="1"/>
                <w:bCs w:val="1"/>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w:t>
            </w:r>
            <w:r>
              <w:rPr>
                <w:rFonts w:ascii="Times New Roman" w:cs="Times New Roman" w:eastAsia="Times New Roman" w:hAnsi="Times New Roman"/>
                <w:sz w:val="16"/>
                <w:szCs w:val="16"/>
                <w:b w:val="1"/>
                <w:bCs w:val="1"/>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income, net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17,016​​​​</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37,306​​​​</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5,111​​​​  0.3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Others, net</w:t>
            </w:r>
          </w:p>
        </w:tc>
        <w:tc>
          <w:tcPr>
            <w:tcW w:w="1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perscript"/>
              </w:rPr>
              <w:t>​</w:t>
            </w:r>
          </w:p>
        </w:tc>
        <w:tc>
          <w:tcPr>
            <w:tcW w:w="72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5"/>
                <w:szCs w:val="15"/>
                <w:color w:val="auto"/>
              </w:rPr>
              <w:t>1,546</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52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0.3</w:t>
            </w: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perscript"/>
              </w:rPr>
              <w:t>​</w:t>
            </w:r>
          </w:p>
        </w:tc>
        <w:tc>
          <w:tcPr>
            <w:tcW w:w="84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5"/>
                <w:szCs w:val="15"/>
                <w:color w:val="auto"/>
              </w:rPr>
              <w:t>20,691</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1360" w:type="dxa"/>
            <w:vAlign w:val="bottom"/>
            <w:gridSpan w:val="6"/>
          </w:tcPr>
          <w:p>
            <w:pPr>
              <w:jc w:val="right"/>
              <w:spacing w:after="0" w:line="256" w:lineRule="exact"/>
              <w:rPr>
                <w:sz w:val="20"/>
                <w:szCs w:val="20"/>
                <w:color w:val="auto"/>
              </w:rPr>
            </w:pPr>
            <w:r>
              <w:rPr>
                <w:rFonts w:ascii="Times New Roman" w:cs="Times New Roman" w:eastAsia="Times New Roman" w:hAnsi="Times New Roman"/>
                <w:sz w:val="15"/>
                <w:szCs w:val="15"/>
                <w:color w:val="auto"/>
              </w:rPr>
              <w:t>0.4</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118,193</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w:t>
            </w:r>
          </w:p>
        </w:tc>
        <w:tc>
          <w:tcPr>
            <w:tcW w:w="1160" w:type="dxa"/>
            <w:vAlign w:val="bottom"/>
            <w:gridSpan w:val="4"/>
          </w:tcPr>
          <w:p>
            <w:pPr>
              <w:jc w:val="right"/>
              <w:spacing w:after="0" w:line="256" w:lineRule="exact"/>
              <w:rPr>
                <w:sz w:val="20"/>
                <w:szCs w:val="20"/>
                <w:color w:val="auto"/>
              </w:rPr>
            </w:pPr>
            <w:r>
              <w:rPr>
                <w:rFonts w:ascii="Times New Roman" w:cs="Times New Roman" w:eastAsia="Times New Roman" w:hAnsi="Times New Roman"/>
                <w:sz w:val="15"/>
                <w:szCs w:val="15"/>
                <w:color w:val="auto"/>
              </w:rPr>
              <w:t>16,192</w:t>
            </w: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5"/>
                <w:szCs w:val="15"/>
                <w:color w:val="auto"/>
              </w:rPr>
              <w:t>​  1.0</w:t>
            </w:r>
            <w:r>
              <w:rPr>
                <w:rFonts w:ascii="Times New Roman" w:cs="Times New Roman" w:eastAsia="Times New Roman" w:hAnsi="Times New Roman"/>
                <w:sz w:val="29"/>
                <w:szCs w:val="29"/>
                <w:color w:val="auto"/>
                <w:vertAlign w:val="subscript"/>
              </w:rPr>
              <w:t>​</w:t>
            </w: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(Loss)/income before income tax</w:t>
            </w:r>
          </w:p>
        </w:tc>
        <w:tc>
          <w:tcPr>
            <w:tcW w:w="12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3"/>
            <w:shd w:val="clear" w:color="auto" w:fill="CCEEFF"/>
          </w:tcPr>
          <w:p>
            <w:pPr>
              <w:jc w:val="right"/>
              <w:ind w:right="26"/>
              <w:spacing w:after="0" w:line="169" w:lineRule="exact"/>
              <w:rPr>
                <w:sz w:val="20"/>
                <w:szCs w:val="20"/>
                <w:color w:val="auto"/>
              </w:rPr>
            </w:pPr>
            <w:r>
              <w:rPr>
                <w:rFonts w:ascii="Times New Roman" w:cs="Times New Roman" w:eastAsia="Times New Roman" w:hAnsi="Times New Roman"/>
                <w:sz w:val="16"/>
                <w:szCs w:val="16"/>
                <w:b w:val="1"/>
                <w:bCs w:val="1"/>
                <w:color w:val="auto"/>
                <w:w w:val="98"/>
              </w:rPr>
              <w:t>(112,380)</w:t>
            </w:r>
          </w:p>
        </w:tc>
        <w:tc>
          <w:tcPr>
            <w:tcW w:w="6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2"/>
            <w:shd w:val="clear" w:color="auto" w:fill="CCEEFF"/>
          </w:tcPr>
          <w:p>
            <w:pPr>
              <w:jc w:val="right"/>
              <w:ind w:right="21"/>
              <w:spacing w:after="0" w:line="169" w:lineRule="exact"/>
              <w:rPr>
                <w:sz w:val="20"/>
                <w:szCs w:val="20"/>
                <w:color w:val="auto"/>
              </w:rPr>
            </w:pPr>
            <w:r>
              <w:rPr>
                <w:rFonts w:ascii="Times New Roman" w:cs="Times New Roman" w:eastAsia="Times New Roman" w:hAnsi="Times New Roman"/>
                <w:sz w:val="16"/>
                <w:szCs w:val="16"/>
                <w:b w:val="1"/>
                <w:bCs w:val="1"/>
                <w:color w:val="auto"/>
              </w:rPr>
              <w:t>(22.9)</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w w:val="99"/>
              </w:rPr>
              <w:t>1,006,327</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w w:val="99"/>
              </w:rPr>
              <w:t>21.7</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w w:val="99"/>
              </w:rPr>
              <w:t>3,042,098</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416,766</w:t>
            </w: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w w:val="99"/>
              </w:rPr>
              <w:t>24.6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68"/>
        </w:trPr>
        <w:tc>
          <w:tcPr>
            <w:tcW w:w="3500" w:type="dxa"/>
            <w:vAlign w:val="bottom"/>
            <w:shd w:val="clear" w:color="auto" w:fill="CCEEFF"/>
          </w:tcPr>
          <w:p>
            <w:pPr>
              <w:spacing w:after="0"/>
              <w:rPr>
                <w:sz w:val="5"/>
                <w:szCs w:val="5"/>
                <w:color w:val="auto"/>
              </w:rPr>
            </w:pPr>
          </w:p>
        </w:tc>
        <w:tc>
          <w:tcPr>
            <w:tcW w:w="16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40" w:type="dxa"/>
            <w:vAlign w:val="bottom"/>
            <w:shd w:val="clear" w:color="auto" w:fill="CCEEFF"/>
          </w:tcPr>
          <w:p>
            <w:pPr>
              <w:spacing w:after="0"/>
              <w:rPr>
                <w:sz w:val="5"/>
                <w:szCs w:val="5"/>
                <w:color w:val="auto"/>
              </w:rPr>
            </w:pPr>
          </w:p>
        </w:tc>
        <w:tc>
          <w:tcPr>
            <w:tcW w:w="1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360" w:type="dxa"/>
            <w:vAlign w:val="bottom"/>
            <w:shd w:val="clear" w:color="auto" w:fill="CCEEFF"/>
          </w:tcPr>
          <w:p>
            <w:pPr>
              <w:spacing w:after="0"/>
              <w:rPr>
                <w:sz w:val="5"/>
                <w:szCs w:val="5"/>
                <w:color w:val="auto"/>
              </w:rPr>
            </w:pPr>
          </w:p>
        </w:tc>
        <w:tc>
          <w:tcPr>
            <w:tcW w:w="16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60" w:type="dxa"/>
            <w:vAlign w:val="bottom"/>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80" w:type="dxa"/>
            <w:vAlign w:val="bottom"/>
            <w:tcBorders>
              <w:right w:val="single" w:sz="8" w:color="CCEEFF"/>
            </w:tcBorders>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benefit/(expense)</w:t>
            </w:r>
          </w:p>
        </w:tc>
        <w:tc>
          <w:tcPr>
            <w:tcW w:w="12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21,664</w:t>
            </w:r>
          </w:p>
        </w:tc>
        <w:tc>
          <w:tcPr>
            <w:tcW w:w="1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(203,761)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16"/>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(527,507) ​</w:t>
            </w:r>
          </w:p>
        </w:tc>
        <w:tc>
          <w:tcPr>
            <w:tcW w:w="800" w:type="dxa"/>
            <w:vAlign w:val="bottom"/>
            <w:gridSpan w:val="2"/>
          </w:tcPr>
          <w:p>
            <w:pPr>
              <w:jc w:val="right"/>
              <w:ind w:right="76"/>
              <w:spacing w:after="0"/>
              <w:rPr>
                <w:sz w:val="20"/>
                <w:szCs w:val="20"/>
                <w:color w:val="auto"/>
              </w:rPr>
            </w:pPr>
            <w:r>
              <w:rPr>
                <w:rFonts w:ascii="Times New Roman" w:cs="Times New Roman" w:eastAsia="Times New Roman" w:hAnsi="Times New Roman"/>
                <w:sz w:val="16"/>
                <w:szCs w:val="16"/>
                <w:color w:val="auto"/>
              </w:rPr>
              <w:t>(72,268)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7"/>
              </w:rPr>
              <w:t>​ (4.3)</w:t>
            </w:r>
          </w:p>
        </w:tc>
        <w:tc>
          <w:tcPr>
            <w:tcW w:w="0" w:type="dxa"/>
            <w:vAlign w:val="bottom"/>
          </w:tcPr>
          <w:p>
            <w:pPr>
              <w:spacing w:after="0"/>
              <w:rPr>
                <w:sz w:val="1"/>
                <w:szCs w:val="1"/>
                <w:color w:val="auto"/>
              </w:rPr>
            </w:pPr>
          </w:p>
        </w:tc>
      </w:tr>
      <w:tr>
        <w:trPr>
          <w:trHeight w:val="68"/>
        </w:trPr>
        <w:tc>
          <w:tcPr>
            <w:tcW w:w="3500" w:type="dxa"/>
            <w:vAlign w:val="bottom"/>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spacing w:after="0"/>
              <w:rPr>
                <w:sz w:val="5"/>
                <w:szCs w:val="5"/>
                <w:color w:val="auto"/>
              </w:rPr>
            </w:pP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tcPr>
          <w:p>
            <w:pPr>
              <w:spacing w:after="0"/>
              <w:rPr>
                <w:sz w:val="5"/>
                <w:szCs w:val="5"/>
                <w:color w:val="auto"/>
              </w:rPr>
            </w:pP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2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(loss)/income</w:t>
            </w:r>
          </w:p>
        </w:tc>
        <w:tc>
          <w:tcPr>
            <w:tcW w:w="1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b w:val="1"/>
                <w:bCs w:val="1"/>
                <w:color w:val="auto"/>
              </w:rPr>
              <w:t>(90,716)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right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(18.5)</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802,566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17.3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2,514,591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344,498</w:t>
            </w:r>
          </w:p>
        </w:tc>
        <w:tc>
          <w:tcPr>
            <w:tcW w:w="1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 20.3</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74"/>
        </w:trPr>
        <w:tc>
          <w:tcPr>
            <w:tcW w:w="3500" w:type="dxa"/>
            <w:vAlign w:val="bottom"/>
            <w:shd w:val="clear" w:color="auto" w:fill="CCEEFF"/>
          </w:tcPr>
          <w:p>
            <w:pPr>
              <w:spacing w:after="0"/>
              <w:rPr>
                <w:sz w:val="6"/>
                <w:szCs w:val="6"/>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540" w:type="dxa"/>
            <w:vAlign w:val="bottom"/>
            <w:shd w:val="clear" w:color="auto" w:fill="CCEEFF"/>
          </w:tcPr>
          <w:p>
            <w:pPr>
              <w:spacing w:after="0"/>
              <w:rPr>
                <w:sz w:val="6"/>
                <w:szCs w:val="6"/>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360" w:type="dxa"/>
            <w:vAlign w:val="bottom"/>
            <w:shd w:val="clear" w:color="auto" w:fill="CCEEFF"/>
          </w:tcPr>
          <w:p>
            <w:pPr>
              <w:spacing w:after="0"/>
              <w:rPr>
                <w:sz w:val="6"/>
                <w:szCs w:val="6"/>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660" w:type="dxa"/>
            <w:vAlign w:val="bottom"/>
            <w:shd w:val="clear" w:color="auto" w:fill="CCEEFF"/>
          </w:tcPr>
          <w:p>
            <w:pPr>
              <w:spacing w:after="0"/>
              <w:rPr>
                <w:sz w:val="6"/>
                <w:szCs w:val="6"/>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300" w:type="dxa"/>
            <w:vAlign w:val="bottom"/>
            <w:shd w:val="clear" w:color="auto" w:fill="CCEEFF"/>
          </w:tcPr>
          <w:p>
            <w:pPr>
              <w:spacing w:after="0"/>
              <w:rPr>
                <w:sz w:val="6"/>
                <w:szCs w:val="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660" w:type="dxa"/>
            <w:vAlign w:val="bottom"/>
            <w:shd w:val="clear" w:color="auto" w:fill="CCEEFF"/>
          </w:tcPr>
          <w:p>
            <w:pPr>
              <w:spacing w:after="0"/>
              <w:rPr>
                <w:sz w:val="6"/>
                <w:szCs w:val="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620" w:type="dxa"/>
            <w:vAlign w:val="bottom"/>
            <w:shd w:val="clear" w:color="auto" w:fill="CCEEFF"/>
          </w:tcPr>
          <w:p>
            <w:pPr>
              <w:spacing w:after="0"/>
              <w:rPr>
                <w:sz w:val="6"/>
                <w:szCs w:val="6"/>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300" w:type="dxa"/>
            <w:vAlign w:val="bottom"/>
            <w:shd w:val="clear" w:color="auto" w:fill="CCEEFF"/>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5703570</wp:posOffset>
            </wp:positionH>
            <wp:positionV relativeFrom="paragraph">
              <wp:posOffset>-213995</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-213995</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-213995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-213995</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30861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-539115</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-539115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-539115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-539115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-539115</wp:posOffset>
            </wp:positionV>
            <wp:extent cx="30861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-2553970</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-2553970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-2553970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-2553970</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-2553970</wp:posOffset>
            </wp:positionV>
            <wp:extent cx="30861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5703570</wp:posOffset>
            </wp:positionH>
            <wp:positionV relativeFrom="paragraph">
              <wp:posOffset>-3034030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-3034030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-3034030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-3034030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-3034030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-3034030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Year Ended December 31, 2023</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48"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Our net revenues were RMB12,405.6 million (US$1,699.6 million) in 2024, representing a 167.4% increase from RMB4,640.2 million in 2023, primarily driven by the increase in net revenues generated from our franchised teahouses. In 2024, GMV generated in China and overseas amounted to RMB29,457.7 million, increasing by 172.9% from RMB10,792.8 million in 2023.</w:t>
      </w:r>
    </w:p>
    <w:p>
      <w:pPr>
        <w:spacing w:after="0" w:line="116"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i w:val="1"/>
          <w:iCs w:val="1"/>
          <w:color w:val="auto"/>
        </w:rPr>
        <w:t>Franchised teahouses</w:t>
      </w:r>
      <w:r>
        <w:rPr>
          <w:rFonts w:ascii="Times New Roman" w:cs="Times New Roman" w:eastAsia="Times New Roman" w:hAnsi="Times New Roman"/>
          <w:sz w:val="18"/>
          <w:szCs w:val="18"/>
          <w:color w:val="auto"/>
        </w:rPr>
        <w:t>. Net revenues from franchised teahouses increased by 164.6%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RMB11,632.4 million (US$1,593.6 million) in 2024 from RMB4,395.9 million in 2023. The increase was primarily driven by a rise in net revenues generated from sales of products to RMB10,789.0 million (US$1,478.1 million) in 2024 from RMB4,148.2 million in 2023, which was mainly fueled by strong demand for store supplies, primarily raw materials and packaging materials, from our franchised stores, driven by rapid growth in GMV from our expanding franchised teahouse network. Specifically, the number of our franchised teahouses increased to 6,271 as of December 31, 2024 from 3,472 as of December 31, 2023 as we continued to broaden our teahouse network in existing markets, while expanding our footprint into new markets. The number of cups of tea drinks sold through our franchised teahouse network in China increased by 170.3% from 2023 to 2024, driven by rapidly expanding teahouse network and strong consumer demand. Our total net revenues from sales of raw materials and packaging materials per cup sold to franchised teahouses in China rose by 1.3% during the same period, primarily due to price increase for select store supplies as a result of our upgraded tea drink recipes to enhance the consumer experience.</w:t>
      </w:r>
    </w:p>
    <w:p>
      <w:pPr>
        <w:spacing w:after="0" w:line="129" w:lineRule="exact"/>
        <w:rPr>
          <w:sz w:val="20"/>
          <w:szCs w:val="20"/>
          <w:color w:val="auto"/>
        </w:rPr>
      </w:pPr>
    </w:p>
    <w:p>
      <w:pPr>
        <w:jc w:val="both"/>
        <w:ind w:left="1260" w:right="419" w:firstLine="360"/>
        <w:spacing w:after="0" w:line="267" w:lineRule="auto"/>
        <w:rPr>
          <w:sz w:val="20"/>
          <w:szCs w:val="20"/>
          <w:color w:val="auto"/>
        </w:rPr>
      </w:pPr>
      <w:r>
        <w:rPr>
          <w:rFonts w:ascii="Times New Roman" w:cs="Times New Roman" w:eastAsia="Times New Roman" w:hAnsi="Times New Roman"/>
          <w:sz w:val="18"/>
          <w:szCs w:val="18"/>
          <w:color w:val="auto"/>
        </w:rPr>
        <w:t>Furthermore, net revenues from selling teahouse equipment also experienced significant growth due to the implementation of our “tea tech” initiatives aimed at improving automation, standardization, and digitalization of operations. We have continued to upgrade our network with advanced, more expensive equipment, including teaspresso-making machines, express chill iced tea makers, and automated tea making machines.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net revenues generated from franchising and other services increased to RMB843.4 million (US$115.5 million) in 2024 from RMB247.7 million in 2023, primarily driven by our franchised teahouse network expansion.</w:t>
      </w:r>
    </w:p>
    <w:p>
      <w:pPr>
        <w:spacing w:after="0" w:line="106"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Company-owned teahouses</w:t>
      </w:r>
      <w:r>
        <w:rPr>
          <w:rFonts w:ascii="Times New Roman" w:cs="Times New Roman" w:eastAsia="Times New Roman" w:hAnsi="Times New Roman"/>
          <w:sz w:val="18"/>
          <w:szCs w:val="18"/>
          <w:color w:val="auto"/>
        </w:rPr>
        <w:t>. Net revenues from company-owned teahouses increased by 216.5%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RMB773.2 million (US$105.9 million) in 2024 from RMB244.3 million in 2023. The increase was generally in line with increased GMV generated from our company-owned teahouses, which was mainly fueled by the expansion of our company-owned teahouse network. The number of our company-owned teahouses increased to 169 as of December 31, 2024 from 39 as of December 31, 2023. The number of our company-owned teahouses accounted for approximately 2.6% of our total store count as of December 31, 2024, compared to 1.1% as of the same date in 2023. As a percentage of total net revenues, net revenues from company-owned teahouses increased to 6.2% in 2024, compared to 5.3% in 2023.</w:t>
      </w:r>
    </w:p>
    <w:p>
      <w:pPr>
        <w:spacing w:after="0" w:line="119"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addition, the growth in net revenues from both our franchised and company-owned teahouses was also attributable to the improved performance of individual teahouses in China, where we operate substantially all of our business. In particular, the average monthly GMV per teahouse in China increased by 6.0% to RMB511.7 thousand in 2024 from RMB482.7 thousand in 2023. Our average cups sold per teahouse per month in China remained relatively stable at 25,099 in 2024, compared to 23,989 in 2023.</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Total operating expenses</w:t>
      </w:r>
    </w:p>
    <w:p>
      <w:pPr>
        <w:spacing w:after="0" w:line="14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Our total operating expenses were RMB9,519.0 million (US$1,304.1 million) in 2024, compared to RMB3,566.1 million in 2023, which generally aligned with our rapid business growth and revenue expansion. The percentages of our overall total operating expenses and the key items thereunder (including cost of materials, store rental and other operating costs, sales and marketing expenses, and general and administrative expenses) over our total net revenues remained relatively stable of 76.7% in 2024, compared to 76.9% in 2023 due to the proportionate increases in operating expenses along with the significant growth of our total net revenues from 2023 to 2024.</w:t>
      </w:r>
    </w:p>
    <w:p>
      <w:pPr>
        <w:spacing w:after="0" w:line="117"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Cost of materials</w:t>
      </w:r>
      <w:r>
        <w:rPr>
          <w:rFonts w:ascii="Times New Roman" w:cs="Times New Roman" w:eastAsia="Times New Roman" w:hAnsi="Times New Roman"/>
          <w:sz w:val="18"/>
          <w:szCs w:val="18"/>
          <w:color w:val="auto"/>
        </w:rPr>
        <w:t>. Our cost of materials was RMB6,012.9 million (US$823.8 million), or 48.4% of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revenues, in 2024, compared to RMB2,462.4 million, or 53.1% of total net revenues, in 2023. The increase in our cost of materials was primarily attributed to a rise in cost of raw materials and packaging materials to RMB5,369.8 million (US$735.7 million) in 2024 from RMB2,041.3 million in 2023, mainly due to the increased procurement volumes to address the growing demands from our expansive teahouse network. The decrease in our cost of materials as a percentage of total net revenues was resulted from the changing revenue and product mix, the upgraded tea drinks recipes, as well as the favorable supply contract terms negotiated, facilitated by our increased procurement scale.</w:t>
      </w:r>
    </w:p>
    <w:p>
      <w:pPr>
        <w:spacing w:after="0" w:line="117"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Company-owned teahouse operating costs</w:t>
      </w:r>
      <w:r>
        <w:rPr>
          <w:rFonts w:ascii="Times New Roman" w:cs="Times New Roman" w:eastAsia="Times New Roman" w:hAnsi="Times New Roman"/>
          <w:sz w:val="18"/>
          <w:szCs w:val="18"/>
          <w:color w:val="auto"/>
        </w:rPr>
        <w:t>. Our company-owned teahouse operating costs increased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339.3% to RMB467.3 million (US$64.0 million) in 2024 from RMB106.4 million in 2023, primarily driven by the expansion of our company-owned teahouse network. This growth in cost outpaced the 216.5% increase in net revenues from company-owned teahouses during the same period. The higher rate of cost growth was primarily driven by initial expenses associated with opening new teahouses as we expanded our company-owned teahouse network, while the performance of these new teahouses was still in the ramp-up phase.</w:t>
      </w:r>
    </w:p>
    <w:p>
      <w:pPr>
        <w:spacing w:after="0" w:line="322"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Storage and logistics costs</w:t>
      </w:r>
      <w:r>
        <w:rPr>
          <w:rFonts w:ascii="Times New Roman" w:cs="Times New Roman" w:eastAsia="Times New Roman" w:hAnsi="Times New Roman"/>
          <w:sz w:val="18"/>
          <w:szCs w:val="18"/>
          <w:color w:val="auto"/>
        </w:rPr>
        <w:t>. Our storage and logistics costs increased to RMB243.8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(US$33.4 million) in 2024 from RMB99.9 million in 2023, primarily due to the increased procurement volumes along with the growing demands from our expansive teahouse network.</w:t>
      </w:r>
    </w:p>
    <w:p>
      <w:pPr>
        <w:spacing w:after="0" w:line="103"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Other operating costs</w:t>
      </w:r>
      <w:r>
        <w:rPr>
          <w:rFonts w:ascii="Times New Roman" w:cs="Times New Roman" w:eastAsia="Times New Roman" w:hAnsi="Times New Roman"/>
          <w:sz w:val="18"/>
          <w:szCs w:val="18"/>
          <w:color w:val="auto"/>
        </w:rPr>
        <w:t>. Our other operating costs were RMB572.6 million (US$78.4 million), or 4.6%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net revenues, in 2024, compared to RMB272.8 million, or 5.9% of total net revenues, in 2023. The increase in our other operating costs was mainly driven by rises in (i) payroll expenses of RMB123.9 million (US$17.0 million) primarily due to the expansion of our employee headcount to support the expansion of our franchised teahouse network, (ii) utilities, office and traveling expenses of RMB75.3 million (US$10.3 million) mainly relating to and resulting from the business expansion, and (iii) tax surcharges of RMB68.7 million (US$9.4 million), which was in line with our business expansion.</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firstLine="36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r>
        <w:rPr>
          <w:rFonts w:ascii="Times New Roman" w:cs="Times New Roman" w:eastAsia="Times New Roman" w:hAnsi="Times New Roman"/>
          <w:sz w:val="18"/>
          <w:szCs w:val="18"/>
          <w:color w:val="auto"/>
        </w:rPr>
        <w:t>. Our sales and marketing expenses were RMB1,108.9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(US$151.9 million), or 8.9% of total net revenues, in 2024, compared to RMB261.6 million, or 5.6% of total net revenues, in 2023. The increase in our sales and marketing expenses was mainly driven by rises in</w:t>
      </w:r>
    </w:p>
    <w:p>
      <w:pPr>
        <w:spacing w:after="0" w:line="1" w:lineRule="exact"/>
        <w:rPr>
          <w:sz w:val="20"/>
          <w:szCs w:val="20"/>
          <w:color w:val="auto"/>
        </w:rPr>
      </w:pPr>
    </w:p>
    <w:p>
      <w:pPr>
        <w:jc w:val="both"/>
        <w:ind w:left="1260" w:right="419"/>
        <w:spacing w:after="0" w:line="246" w:lineRule="auto"/>
        <w:tabs>
          <w:tab w:leader="none" w:pos="15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expenses of RMB640.8 million (US$87.8 million) as we continued to bolster our brand awareness and (ii) payroll expenses of RMB164.7 million (US$22.6 million) primarily due to the expansion of our sales and marketing employee headcount, as well as the elevated workforce structure.</w:t>
      </w:r>
    </w:p>
    <w:p>
      <w:pPr>
        <w:spacing w:after="0" w:line="109"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color w:val="auto"/>
        </w:rPr>
        <w:t>. Our general and administrative expenses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RMB1,113.4 million (US$152.5 million), or 9.0% of total net revenues, in 2024, compared to RMB363.1 million, or 7.8% of total net revenues, in 2023. The increase in our general and administrative expenses was mainly driven by the rise in (i) payroll expenses and share-based compensation of RMB325.4 million (US$44.6 million) primarily due to the expansion of our administrative staff headcount and salary to support our growing business, as well as the elevated workforce structure, (ii) other expenses of RMB255.6 million (US$ 35.0 million), which primarily comprise of research and development expenses, that were mainly driven by our increased investment in technology to digitize and optimize our operations and (iii) rental, utilities, office miscellaneous and traveling expenses of RMB92.7 million (US$12.7 million) primarily resulting from the opening of our Shanghai and overseas offices.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net</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Our financial income increased to RMB37.3 million (US$5.1 million) in 2024 from RMB17.0 million in 2023, mainly driven by increased income from our time deposits and cash balances and enhanced cash management platform. We maintained our investment in time deposits over the period to effectively manage the heightened cash generated from our operating activities, which was in line with our rapid business expansion and revenue growth.</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Our income, net increased to RMB118.2 million (US$16.2 million) in 2024 from RMB20.7 million in 2023, primarily due to increased government subsidies.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expenses</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Our income tax expenses increased to RMB527.5 million (US$72.3 million) in 2024 from RMB203.8 million in 2023, which was in line with our rapid business expansion and profit growth.</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As a result of the foregoing, our net income expanded to reach RMB2,514.6 million (US$344.5 million) in 2024 from RMB802.6 million in 2023.</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2022</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net revenues were RMB4,640.2 million in 2023, representing an 843.8% increase from RMB491.7 million in 2022, primarily driven by the increase in net revenues generated from our franchised teahouses. In 2023, GMV generated in China and overseas amounted to RMB10,792.8 million, increasing by 734.3% from RMB1,293.7 million in 2022.</w:t>
      </w:r>
    </w:p>
    <w:p>
      <w:pPr>
        <w:spacing w:after="0" w:line="10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Franchised teahouses</w:t>
      </w:r>
      <w:r>
        <w:rPr>
          <w:rFonts w:ascii="Times New Roman" w:cs="Times New Roman" w:eastAsia="Times New Roman" w:hAnsi="Times New Roman"/>
          <w:sz w:val="18"/>
          <w:szCs w:val="18"/>
          <w:color w:val="auto"/>
        </w:rPr>
        <w:t>. Net revenues from franchised teahouses increased by 971.5% to RMB4,395.9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2023 from RMB410.3 million in 2022. The increase was primarily driven by a rise in net revenues generated from sales of products to RMB4,148.2 million in 2023 from RMB389.7 million in 2022, which was mainly fueled by strong demand for store supplies, primarily raw materials and packaging materials, from our franchised stores, driven by rapid growth in GMV from our expanding franchised teahouse network. Specifically, the number of our franchised teahouses increased to 3,472 as of December 31, 2023 from 1,057 as of December 31, 2022 as we continued to broaden our teahouse network in existing markets, while expanding our footprint into new markets. The number of cups of tea drinks sold through our franchised teahouse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network in China increased by 847.0% from 2022 to 2023, driven by rapidly expanding teahouse network and strong consumer demand. Our total net revenues from sales of raw materials and packaging materials per cup sold by franchised teahouses in China rose by 8.3% during the same period, primarily due to price increase for select store supplies as a result of our upgraded tea drink recipes to enhance the consumer experience.</w:t>
      </w:r>
    </w:p>
    <w:p>
      <w:pPr>
        <w:spacing w:after="0" w:line="32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Furthermore, net revenues from selling teahouse equipment also experienced significant growth due to the implementation of our “tea tech” initiatives aimed at improving automation, standardization, and digitalization of operations. In 2023, we upgraded our network with advanced, more expensive equipment, including teaspresso -making machines, express chill iced tea makers, and automated tea making machines. This new equipment was installed in newly opened franchised teahouses and in existing stores to replace old equipment, leading to a substantial increase in net revenues.</w:t>
      </w:r>
    </w:p>
    <w:p>
      <w:pPr>
        <w:spacing w:after="0" w:line="114"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Our net revenues generated from franchising and other services increased to RMB247.7 million in 2023 from RMB20.6 million in 2022, primarily driven by our franchised teahouse network expansion. Additionally, this increase was due to the reduction of fee waivers previously granted to select franchisees. These waivers, offered to attract franchisees and increase brand awareness in 2022, were narrowed in scope and extent in 2023. Consequently, the net revenues from franchising and other services increased significantly.</w:t>
      </w:r>
    </w:p>
    <w:p>
      <w:pPr>
        <w:spacing w:after="0" w:line="323"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Company-owned teahouses</w:t>
      </w:r>
      <w:r>
        <w:rPr>
          <w:rFonts w:ascii="Times New Roman" w:cs="Times New Roman" w:eastAsia="Times New Roman" w:hAnsi="Times New Roman"/>
          <w:sz w:val="18"/>
          <w:szCs w:val="18"/>
          <w:color w:val="auto"/>
        </w:rPr>
        <w:t>. Net revenues from company -owned teahouses increased by 200.1%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RMB244.3 million in 2023 from RMB81.4 million in 2022. The increase was generally in line with increased GMV generated from our company-owned teahouses, which was mainly fueled by the expansion of our company-owned teahouse network. The number of our company-owned teahouses increased to 39 as of December 31, 2023 from 30 as of December 31, 2022. The number of our company-owned teahouses accounted for approximately 1.1% of our total store count as of December 31, 2023, down from 2.8% as of the same date in 2022. As a percentage of total net revenues, net revenues from company-owned teahouses decreased to 5.3% in 2023, compared to 16.6% in 2022. This was generally consistent with the change in the proportion of our company-owned teahouses within our overall teahouse network. We expect net revenues from our company-owned teahouses, as a percentage of total net revenues, to generally change in proportion to the change in percentage of company-owned teahouse in our overall teahouse network.</w:t>
      </w:r>
    </w:p>
    <w:p>
      <w:pPr>
        <w:spacing w:after="0" w:line="123"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addition, the growth in net revenues from both our franchised and company-owned teahouses was also attributable to the improved performance of individual teahouses in China, where we operate substantially all of our business. In particular, the average monthly GMV per teahouse in China increased by 171.9% to RMB482.7 thousand in 2023 from RMB177.5 thousand in 2022. While our tea drink prices remained relatively stable, the average cups sold per teahouse per month in China rose by 167.1% to 23,989 in 2023, compared to 8,981 in 2022. This improvement in individual teahouse performance was primarily due to increased brand recognition, continuous product refinements, and enhanced consumer experience.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Total operating expenses</w:t>
      </w:r>
    </w:p>
    <w:p>
      <w:pPr>
        <w:spacing w:after="0" w:line="162"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Our total operating expenses were RMB3,566.1 million in 2023, compared to RMB607.5 million in 2022, which generally aligned with our rapid business growth and revenue expansion. Nevertheless, the percentages of our overall total operating expenses and the key items thereunder (including cost of materials, store rental and other operating costs, sales and marketing expenses, and general and administrative expenses) over our total net revenues decreased to 76.9% in 2023 from 123.6% in 2022, primarily due to our enhanced economies of scale.</w:t>
      </w:r>
    </w:p>
    <w:p>
      <w:pPr>
        <w:spacing w:after="0" w:line="319"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Cost of materials</w:t>
      </w:r>
      <w:r>
        <w:rPr>
          <w:rFonts w:ascii="Times New Roman" w:cs="Times New Roman" w:eastAsia="Times New Roman" w:hAnsi="Times New Roman"/>
          <w:sz w:val="18"/>
          <w:szCs w:val="18"/>
          <w:color w:val="auto"/>
        </w:rPr>
        <w:t>. Our cost of materials was RMB2,462.4 million, or 53.1% of total net revenues,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compared to RMB291.2 million, or 59.2% of total net revenues, in 2022. The increase in our cost of raw materials and packagings to RMB2,041.3 million in 2023 from RMB254.2 million in 2022, was mainly due to the increased procurement volumes to address the growing demands from our expansive teahouse network. The decrease in our cost of materials as a percentage of total net revenues resulted from the favorable supply contract terms negotiated, facilitated by our increased procurement scale.</w:t>
      </w:r>
    </w:p>
    <w:p>
      <w:pPr>
        <w:spacing w:after="0" w:line="115"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Company-owned teahouse operating costs</w:t>
      </w:r>
      <w:r>
        <w:rPr>
          <w:rFonts w:ascii="Times New Roman" w:cs="Times New Roman" w:eastAsia="Times New Roman" w:hAnsi="Times New Roman"/>
          <w:sz w:val="18"/>
          <w:szCs w:val="18"/>
          <w:color w:val="auto"/>
        </w:rPr>
        <w:t>. Our company-owned teahouse operating costs increased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RMB106.4 million in 2023 from RMB54.9 million in 2022, primarily driven by the expansion of our company-owned teahouse network. Our company-owned teahouse operating costs increased by 93.8% from 2022 to 2023. This growth was substantially slower than the 200.1% increase in net revenues from company-owned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teahouses during the same period. The slower cost growth was primarily attributed to the fixed nature of many of our operating expenses, such as store rental, which typically do not increase proportionally as teahouse performance ramps up.</w:t>
      </w:r>
    </w:p>
    <w:p>
      <w:pPr>
        <w:spacing w:after="0" w:line="98"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Storage and logistics costs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storage and logistics costs increased to RMB99.9 million in 2023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RMB12.5 million in 2022, primarily due to increased procurement volumes to address the growing demands from our expansive teahouse network.</w:t>
      </w:r>
    </w:p>
    <w:p>
      <w:pPr>
        <w:spacing w:after="0" w:line="97"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Other operating costs</w:t>
      </w:r>
      <w:r>
        <w:rPr>
          <w:rFonts w:ascii="Times New Roman" w:cs="Times New Roman" w:eastAsia="Times New Roman" w:hAnsi="Times New Roman"/>
          <w:sz w:val="18"/>
          <w:szCs w:val="18"/>
          <w:color w:val="auto"/>
        </w:rPr>
        <w:t>. Our other operating costs were RMB272.8 million, or 5.9% of total net revenues,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2023, compared to RMB75.8 million, or 15.4% of total net revenues, in 2022. The increase in our other operating costs was mainly driven by rises in (i) payroll expenses of RMB123.1 million primarily due to the expansion of our employee headcount to support the expansion of our franchised teahouse network, and (ii) taxes and surcharges of RMB27.8 million, which was generally in line with our business expansion.</w:t>
      </w:r>
    </w:p>
    <w:p>
      <w:pPr>
        <w:spacing w:after="0" w:line="109" w:lineRule="exact"/>
        <w:rPr>
          <w:sz w:val="20"/>
          <w:szCs w:val="20"/>
          <w:color w:val="auto"/>
        </w:rPr>
      </w:pPr>
    </w:p>
    <w:p>
      <w:pPr>
        <w:jc w:val="both"/>
        <w:ind w:left="1260" w:right="41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sales and marketing expenses were RMB261.6 million, or 5.6%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net revenues, in 2023, compared to RMB73.6 million, or 15.0% of total net revenues, in 2022. The increase in our sales and marketing expenses was mainly driven by rises in (i) advertising expenses of RMB100.5 million as we continued to bolster our brand awareness, and (ii) payroll expenses of RMB67.8 million primarily due to the expansion of our sales and marketing employee headcount, as well as the optimized workforce structure.</w:t>
      </w:r>
    </w:p>
    <w:p>
      <w:pPr>
        <w:spacing w:after="0" w:line="321"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general and administrative expenses were RMB363.1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7.8% of total net revenues, in 2023, compared to RMB99.5 million, or 20.3% of total net revenues, in 2022. The increase in our general and administrative expenses was mainly driven by the rise in (i) payroll expenses of RMB175.6 million primarily due to the expansion of our administrative staff headcount to support our growing business, as well as the optimized workforce structure, and (ii) professional service fees of RMB49.9 million primarily due to increased fees for IT and software services as part of our ongoing efforts to digitize and optimize our operations.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Fair value change of forward contract related to Series B+ preferred shares</w:t>
      </w:r>
    </w:p>
    <w:p>
      <w:pPr>
        <w:spacing w:after="0" w:line="148"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Our fair value change of forward contract related to Series B+ preferred shares increased to RMB105.5 million in 2023 from nil in 2022, primarily due to the change in fair value of a financial liability, representing our obligation to issue Series B+ preferred shares to one of our shareholders at a fixed predetermined price.</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net</w:t>
      </w:r>
    </w:p>
    <w:p>
      <w:pPr>
        <w:spacing w:after="0" w:line="14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financial income, net increased to RMB17.0 million in 2023 from RMB1.9 million in 2022, mainly driven by increased income from our wealth management products. In 2023, we increased our investment in wealth management products to effectively manage the heightened cash generated from our operating activities, which was in line with our rapid business expansion and revenue growth.</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Others, net</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others, net increased to RMB20.7 million in 2023 from RMB1.5 million in 2022, primarily due to increased subsidies from local authorities associated with tax contributions in specific jurisdictions for operating our business and fulfilling specified tax payment obligations.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benefit/(expense)</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income tax expense was RMB203.8 million in 2023, as compared to income tax benefit of RMB21.7 million in 2022, primarily because we turned into a net income position in 2023.</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(loss)/income</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As a result of the foregoing, we recorded a net income of RMB802.6 million in 2023, as compared to a net loss of RMB90.7 million in 2022.</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Selected Unaudited Quarterly Results of Operations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unaudited consolidated quarterly results of operations data for the periods indicated. You should read the following table in conjunction with our consolidated financial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00"/>
        <w:spacing w:after="0" w:line="259" w:lineRule="auto"/>
        <w:rPr>
          <w:sz w:val="20"/>
          <w:szCs w:val="20"/>
          <w:color w:val="auto"/>
        </w:rPr>
      </w:pPr>
      <w:r>
        <w:rPr>
          <w:rFonts w:ascii="Times New Roman" w:cs="Times New Roman" w:eastAsia="Times New Roman" w:hAnsi="Times New Roman"/>
          <w:sz w:val="18"/>
          <w:szCs w:val="18"/>
          <w:color w:val="auto"/>
        </w:rPr>
        <w:t>statements and related notes included elsewhere in this prospectus. We have prepared the unaudited consolidated quarterly financial information on the same basis as our annual consolidated financial statements. The unaudited consolidated quarterly financial information includes all adjustments, consisting only of normal and recurring adjustments, that we consider necessary for a fair statement of our operating results for the quarters presented.</w:t>
      </w:r>
    </w:p>
    <w:p>
      <w:pPr>
        <w:spacing w:after="0" w:line="200" w:lineRule="exact"/>
        <w:rPr>
          <w:sz w:val="20"/>
          <w:szCs w:val="20"/>
          <w:color w:val="auto"/>
        </w:rPr>
      </w:pPr>
    </w:p>
    <w:p>
      <w:pPr>
        <w:spacing w:after="0" w:line="208" w:lineRule="exact"/>
        <w:rPr>
          <w:sz w:val="20"/>
          <w:szCs w:val="20"/>
          <w:color w:val="auto"/>
        </w:rPr>
      </w:pPr>
    </w:p>
    <w:tbl>
      <w:tblPr>
        <w:tblLayout w:type="fixed"/>
        <w:tblInd w:w="500" w:type="dxa"/>
        <w:tblCellMar>
          <w:top w:w="0" w:type="dxa"/>
          <w:left w:w="0" w:type="dxa"/>
          <w:bottom w:w="0" w:type="dxa"/>
          <w:right w:w="0" w:type="dxa"/>
        </w:tblCellMar>
      </w:tblPr>
      <w:tr>
        <w:trPr>
          <w:trHeight w:val="138"/>
        </w:trPr>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4"/>
              </w:rPr>
              <w:t>March 31,</w:t>
            </w:r>
          </w:p>
        </w:tc>
        <w:tc>
          <w:tcPr>
            <w:tcW w:w="4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88"/>
              </w:rPr>
              <w:t>June 30,</w:t>
            </w:r>
          </w:p>
        </w:tc>
        <w:tc>
          <w:tcPr>
            <w:tcW w:w="40" w:type="dxa"/>
            <w:vAlign w:val="bottom"/>
          </w:tcPr>
          <w:p>
            <w:pPr>
              <w:spacing w:after="0"/>
              <w:rPr>
                <w:sz w:val="12"/>
                <w:szCs w:val="12"/>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September 30,</w:t>
            </w:r>
          </w:p>
        </w:tc>
        <w:tc>
          <w:tcPr>
            <w:tcW w:w="20" w:type="dxa"/>
            <w:vAlign w:val="bottom"/>
          </w:tcPr>
          <w:p>
            <w:pPr>
              <w:spacing w:after="0"/>
              <w:rPr>
                <w:sz w:val="12"/>
                <w:szCs w:val="12"/>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c>
          <w:tcPr>
            <w:tcW w:w="4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March 31,</w:t>
            </w:r>
          </w:p>
        </w:tc>
        <w:tc>
          <w:tcPr>
            <w:tcW w:w="40" w:type="dxa"/>
            <w:vAlign w:val="bottom"/>
          </w:tcPr>
          <w:p>
            <w:pPr>
              <w:spacing w:after="0"/>
              <w:rPr>
                <w:sz w:val="12"/>
                <w:szCs w:val="12"/>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10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84"/>
              </w:rPr>
              <w:t>September 30,</w:t>
            </w:r>
          </w:p>
        </w:tc>
        <w:tc>
          <w:tcPr>
            <w:tcW w:w="10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85"/>
              </w:rPr>
              <w:t>December 31,</w:t>
            </w:r>
          </w:p>
        </w:tc>
        <w:tc>
          <w:tcPr>
            <w:tcW w:w="60" w:type="dxa"/>
            <w:vAlign w:val="bottom"/>
          </w:tcPr>
          <w:p>
            <w:pPr>
              <w:spacing w:after="0"/>
              <w:rPr>
                <w:sz w:val="12"/>
                <w:szCs w:val="12"/>
                <w:color w:val="auto"/>
              </w:rPr>
            </w:pPr>
          </w:p>
        </w:tc>
        <w:tc>
          <w:tcPr>
            <w:tcW w:w="660" w:type="dxa"/>
            <w:vAlign w:val="bottom"/>
            <w:gridSpan w:val="4"/>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w w:val="91"/>
              </w:rPr>
              <w:t>March 31,</w:t>
            </w:r>
          </w:p>
        </w:tc>
        <w:tc>
          <w:tcPr>
            <w:tcW w:w="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10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84"/>
              </w:rPr>
              <w:t>September 30,</w:t>
            </w:r>
          </w:p>
        </w:tc>
        <w:tc>
          <w:tcPr>
            <w:tcW w:w="100" w:type="dxa"/>
            <w:vAlign w:val="bottom"/>
          </w:tcPr>
          <w:p>
            <w:pPr>
              <w:spacing w:after="0"/>
              <w:rPr>
                <w:sz w:val="12"/>
                <w:szCs w:val="12"/>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88"/>
              </w:rPr>
              <w:t>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2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3"/>
                <w:szCs w:val="13"/>
                <w:color w:val="auto"/>
              </w:rPr>
            </w:pPr>
          </w:p>
        </w:tc>
        <w:tc>
          <w:tcPr>
            <w:tcW w:w="520" w:type="dxa"/>
            <w:vAlign w:val="bottom"/>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520" w:type="dxa"/>
            <w:vAlign w:val="bottom"/>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2022</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40" w:type="dxa"/>
            <w:vAlign w:val="bottom"/>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380" w:type="dxa"/>
            <w:vAlign w:val="bottom"/>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560" w:type="dxa"/>
            <w:vAlign w:val="bottom"/>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540" w:type="dxa"/>
            <w:vAlign w:val="bottom"/>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560" w:type="dxa"/>
            <w:vAlign w:val="bottom"/>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540" w:type="dxa"/>
            <w:vAlign w:val="bottom"/>
          </w:tcPr>
          <w:p>
            <w:pPr>
              <w:jc w:val="center"/>
              <w:ind w:right="62"/>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line="20" w:lineRule="exact"/>
              <w:rPr>
                <w:sz w:val="1"/>
                <w:szCs w:val="1"/>
                <w:color w:val="auto"/>
              </w:rPr>
            </w:pPr>
          </w:p>
        </w:tc>
      </w:tr>
      <w:tr>
        <w:trPr>
          <w:trHeight w:val="148"/>
        </w:trPr>
        <w:tc>
          <w:tcPr>
            <w:tcW w:w="1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9"/>
              </w:rPr>
              <w:t>RMB</w:t>
            </w: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 RMB</w:t>
            </w:r>
          </w:p>
        </w:tc>
        <w:tc>
          <w:tcPr>
            <w:tcW w:w="12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2"/>
                <w:szCs w:val="12"/>
                <w:color w:val="auto"/>
              </w:rPr>
            </w:pPr>
          </w:p>
        </w:tc>
        <w:tc>
          <w:tcPr>
            <w:tcW w:w="520" w:type="dxa"/>
            <w:vAlign w:val="bottom"/>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w w:val="99"/>
              </w:rPr>
              <w:t>RMB</w:t>
            </w:r>
          </w:p>
        </w:tc>
        <w:tc>
          <w:tcPr>
            <w:tcW w:w="12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2"/>
                <w:szCs w:val="12"/>
                <w:color w:val="auto"/>
              </w:rPr>
            </w:pPr>
          </w:p>
        </w:tc>
        <w:tc>
          <w:tcPr>
            <w:tcW w:w="520" w:type="dxa"/>
            <w:vAlign w:val="bottom"/>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w w:val="99"/>
              </w:rPr>
              <w:t>RMB</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44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w w:val="99"/>
              </w:rPr>
              <w:t>RMB</w:t>
            </w:r>
          </w:p>
        </w:tc>
        <w:tc>
          <w:tcPr>
            <w:tcW w:w="12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380" w:type="dxa"/>
            <w:vAlign w:val="bottom"/>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2"/>
              </w:rPr>
              <w:t>RMB</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2"/>
                <w:szCs w:val="12"/>
                <w:color w:val="auto"/>
              </w:rPr>
            </w:pPr>
          </w:p>
        </w:tc>
        <w:tc>
          <w:tcPr>
            <w:tcW w:w="560" w:type="dxa"/>
            <w:vAlign w:val="bottom"/>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RMB</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2"/>
                <w:szCs w:val="12"/>
                <w:color w:val="auto"/>
              </w:rPr>
            </w:pPr>
          </w:p>
        </w:tc>
        <w:tc>
          <w:tcPr>
            <w:tcW w:w="540" w:type="dxa"/>
            <w:vAlign w:val="bottom"/>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RMB</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Pr>
          <w:p>
            <w:pPr>
              <w:jc w:val="center"/>
              <w:ind w:left="2"/>
              <w:spacing w:after="0"/>
              <w:rPr>
                <w:sz w:val="20"/>
                <w:szCs w:val="20"/>
                <w:color w:val="auto"/>
              </w:rPr>
            </w:pPr>
            <w:r>
              <w:rPr>
                <w:rFonts w:ascii="Times New Roman" w:cs="Times New Roman" w:eastAsia="Times New Roman" w:hAnsi="Times New Roman"/>
                <w:sz w:val="12"/>
                <w:szCs w:val="12"/>
                <w:b w:val="1"/>
                <w:bCs w:val="1"/>
                <w:color w:val="auto"/>
                <w:w w:val="92"/>
              </w:rPr>
              <w:t>RMB</w:t>
            </w:r>
          </w:p>
        </w:tc>
        <w:tc>
          <w:tcPr>
            <w:tcW w:w="1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jc w:val="center"/>
              <w:ind w:right="2"/>
              <w:spacing w:after="0"/>
              <w:rPr>
                <w:sz w:val="20"/>
                <w:szCs w:val="20"/>
                <w:color w:val="auto"/>
              </w:rPr>
            </w:pPr>
            <w:r>
              <w:rPr>
                <w:rFonts w:ascii="Times New Roman" w:cs="Times New Roman" w:eastAsia="Times New Roman" w:hAnsi="Times New Roman"/>
                <w:sz w:val="12"/>
                <w:szCs w:val="12"/>
                <w:b w:val="1"/>
                <w:bCs w:val="1"/>
                <w:color w:val="auto"/>
                <w:w w:val="92"/>
              </w:rPr>
              <w:t>RMB</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2"/>
                <w:szCs w:val="12"/>
                <w:color w:val="auto"/>
              </w:rPr>
            </w:pPr>
          </w:p>
        </w:tc>
        <w:tc>
          <w:tcPr>
            <w:tcW w:w="560" w:type="dxa"/>
            <w:vAlign w:val="bottom"/>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RMB</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2"/>
                <w:szCs w:val="12"/>
                <w:color w:val="auto"/>
              </w:rPr>
            </w:pPr>
          </w:p>
        </w:tc>
        <w:tc>
          <w:tcPr>
            <w:tcW w:w="540" w:type="dxa"/>
            <w:vAlign w:val="bottom"/>
          </w:tcPr>
          <w:p>
            <w:pPr>
              <w:jc w:val="center"/>
              <w:ind w:right="62"/>
              <w:spacing w:after="0"/>
              <w:rPr>
                <w:sz w:val="20"/>
                <w:szCs w:val="20"/>
                <w:color w:val="auto"/>
              </w:rPr>
            </w:pPr>
            <w:r>
              <w:rPr>
                <w:rFonts w:ascii="Times New Roman" w:cs="Times New Roman" w:eastAsia="Times New Roman" w:hAnsi="Times New Roman"/>
                <w:sz w:val="12"/>
                <w:szCs w:val="12"/>
                <w:b w:val="1"/>
                <w:bCs w:val="1"/>
                <w:color w:val="auto"/>
                <w:w w:val="92"/>
              </w:rPr>
              <w:t>RMB</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line="20" w:lineRule="exact"/>
              <w:rPr>
                <w:sz w:val="1"/>
                <w:szCs w:val="1"/>
                <w:color w:val="auto"/>
              </w:rPr>
            </w:pPr>
          </w:p>
        </w:tc>
      </w:tr>
      <w:tr>
        <w:trPr>
          <w:trHeight w:val="128"/>
        </w:trPr>
        <w:tc>
          <w:tcPr>
            <w:tcW w:w="18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2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3"/>
          </w:tcPr>
          <w:p>
            <w:pPr>
              <w:jc w:val="right"/>
              <w:ind w:right="42"/>
              <w:spacing w:after="0" w:line="129" w:lineRule="exact"/>
              <w:rPr>
                <w:sz w:val="20"/>
                <w:szCs w:val="20"/>
                <w:color w:val="auto"/>
              </w:rPr>
            </w:pPr>
            <w:r>
              <w:rPr>
                <w:rFonts w:ascii="Times New Roman" w:cs="Times New Roman" w:eastAsia="Times New Roman" w:hAnsi="Times New Roman"/>
                <w:sz w:val="12"/>
                <w:szCs w:val="12"/>
                <w:b w:val="1"/>
                <w:bCs w:val="1"/>
                <w:color w:val="auto"/>
                <w:w w:val="87"/>
              </w:rPr>
              <w:t>(in thousands)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revenues from franchised</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teahouses</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45,033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46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57,732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640" w:type="dxa"/>
            <w:vAlign w:val="bottom"/>
            <w:tcBorders>
              <w:right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121,356</w:t>
            </w:r>
          </w:p>
        </w:tc>
        <w:tc>
          <w:tcPr>
            <w:tcW w:w="1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right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186,140</w:t>
            </w:r>
          </w:p>
        </w:tc>
        <w:tc>
          <w:tcPr>
            <w:tcW w:w="5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376,680</w:t>
            </w:r>
          </w:p>
        </w:tc>
        <w:tc>
          <w:tcPr>
            <w:tcW w:w="6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682,494​​​</w:t>
            </w:r>
          </w:p>
        </w:tc>
        <w:tc>
          <w:tcPr>
            <w:tcW w:w="66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1,370,224</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right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1,966,510</w:t>
            </w:r>
          </w:p>
        </w:tc>
        <w:tc>
          <w:tcPr>
            <w:tcW w:w="1300" w:type="dxa"/>
            <w:vAlign w:val="bottom"/>
            <w:tcBorders>
              <w:right w:val="single" w:sz="8" w:color="CCEEFF"/>
            </w:tcBorders>
            <w:gridSpan w:val="7"/>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2,389,684​​​</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2,847,801​​​</w:t>
            </w:r>
          </w:p>
        </w:tc>
        <w:tc>
          <w:tcPr>
            <w:tcW w:w="66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3,299,023</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right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3,095,866</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4"/>
        </w:trPr>
        <w:tc>
          <w:tcPr>
            <w:tcW w:w="1880" w:type="dxa"/>
            <w:vAlign w:val="bottom"/>
          </w:tcPr>
          <w:p>
            <w:pPr>
              <w:spacing w:after="0"/>
              <w:rPr>
                <w:sz w:val="20"/>
                <w:szCs w:val="20"/>
                <w:color w:val="auto"/>
              </w:rPr>
            </w:pPr>
            <w:r>
              <w:rPr>
                <w:rFonts w:ascii="Times New Roman" w:cs="Times New Roman" w:eastAsia="Times New Roman" w:hAnsi="Times New Roman"/>
                <w:sz w:val="12"/>
                <w:szCs w:val="12"/>
                <w:color w:val="auto"/>
              </w:rPr>
              <w:t>Net revenues from company-owned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teahouses</w:t>
            </w:r>
          </w:p>
        </w:tc>
        <w:tc>
          <w:tcPr>
            <w:tcW w:w="6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9,790</w:t>
            </w:r>
          </w:p>
        </w:tc>
        <w:tc>
          <w:tcPr>
            <w:tcW w:w="580" w:type="dxa"/>
            <w:vAlign w:val="bottom"/>
            <w:gridSpan w:val="5"/>
          </w:tcPr>
          <w:p>
            <w:pPr>
              <w:jc w:val="right"/>
              <w:ind w:right="2"/>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16,158</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25,951</w:t>
            </w:r>
          </w:p>
        </w:tc>
        <w:tc>
          <w:tcPr>
            <w:tcW w:w="12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29,493</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40,347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49,891​​​</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73,487</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80,538</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116,887​​​</w:t>
            </w:r>
            <w:r>
              <w:rPr>
                <w:rFonts w:ascii="Times New Roman" w:cs="Times New Roman" w:eastAsia="Times New Roman" w:hAnsi="Times New Roman"/>
                <w:sz w:val="12"/>
                <w:szCs w:val="12"/>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175,536​​​</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242,225</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238,560</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net revenues</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54,823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46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73,890​​</w:t>
            </w:r>
          </w:p>
        </w:tc>
        <w:tc>
          <w:tcPr>
            <w:tcW w:w="640" w:type="dxa"/>
            <w:vAlign w:val="bottom"/>
            <w:tcBorders>
              <w:right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 147,307</w:t>
            </w:r>
          </w:p>
        </w:tc>
        <w:tc>
          <w:tcPr>
            <w:tcW w:w="1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right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 215,633</w:t>
            </w:r>
          </w:p>
        </w:tc>
        <w:tc>
          <w:tcPr>
            <w:tcW w:w="5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 ​ 417,027</w:t>
            </w:r>
          </w:p>
        </w:tc>
        <w:tc>
          <w:tcPr>
            <w:tcW w:w="6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 732,385​​​</w:t>
            </w:r>
          </w:p>
        </w:tc>
        <w:tc>
          <w:tcPr>
            <w:tcW w:w="66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 1,443,711</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right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 2,047,048</w:t>
            </w:r>
          </w:p>
        </w:tc>
        <w:tc>
          <w:tcPr>
            <w:tcW w:w="1300" w:type="dxa"/>
            <w:vAlign w:val="bottom"/>
            <w:tcBorders>
              <w:right w:val="single" w:sz="8" w:color="CCEEFF"/>
            </w:tcBorders>
            <w:gridSpan w:val="7"/>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 2,506,571​​​​ 3,023,337​​​</w:t>
            </w:r>
          </w:p>
        </w:tc>
        <w:tc>
          <w:tcPr>
            <w:tcW w:w="66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 3,541,248</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right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 3,334,426</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20"/>
                <w:szCs w:val="20"/>
                <w:color w:val="auto"/>
              </w:rPr>
            </w:pPr>
            <w:r>
              <w:rPr>
                <w:rFonts w:ascii="Times New Roman" w:cs="Times New Roman" w:eastAsia="Times New Roman" w:hAnsi="Times New Roman"/>
                <w:sz w:val="12"/>
                <w:szCs w:val="12"/>
                <w:color w:val="auto"/>
              </w:rPr>
              <w:t>Cost of materials</w:t>
            </w:r>
          </w:p>
        </w:tc>
        <w:tc>
          <w:tcPr>
            <w:tcW w:w="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(36,673)</w:t>
            </w:r>
          </w:p>
        </w:tc>
        <w:tc>
          <w:tcPr>
            <w:tcW w:w="580" w:type="dxa"/>
            <w:vAlign w:val="bottom"/>
            <w:gridSpan w:val="5"/>
          </w:tcPr>
          <w:p>
            <w:pPr>
              <w:jc w:val="right"/>
              <w:ind w:right="2"/>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(46,566</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7"/>
              </w:rPr>
              <w:t>(84,538)</w:t>
            </w:r>
          </w:p>
        </w:tc>
        <w:tc>
          <w:tcPr>
            <w:tcW w:w="12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(123,453)</w:t>
            </w:r>
          </w:p>
        </w:tc>
        <w:tc>
          <w:tcPr>
            <w:tcW w:w="5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(229,122)</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(403,068​​​)</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(758,349)</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(1,071,848)</w:t>
            </w:r>
          </w:p>
        </w:tc>
        <w:tc>
          <w:tcPr>
            <w:tcW w:w="1300" w:type="dxa"/>
            <w:vAlign w:val="bottom"/>
            <w:gridSpan w:val="7"/>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(1,267,822​​​)</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(1,499,190​​​)</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(1,698,050)</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(1,547,860) ​</w:t>
            </w:r>
          </w:p>
        </w:tc>
        <w:tc>
          <w:tcPr>
            <w:tcW w:w="0" w:type="dxa"/>
            <w:vAlign w:val="bottom"/>
          </w:tcPr>
          <w:p>
            <w:pPr>
              <w:spacing w:after="0"/>
              <w:rPr>
                <w:sz w:val="1"/>
                <w:szCs w:val="1"/>
                <w:color w:val="auto"/>
              </w:rPr>
            </w:pPr>
          </w:p>
        </w:tc>
      </w:tr>
      <w:tr>
        <w:trPr>
          <w:trHeight w:val="154"/>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Company-owned teahouse operating</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costs</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(8,583)</w:t>
            </w:r>
          </w:p>
        </w:tc>
        <w:tc>
          <w:tcPr>
            <w:tcW w:w="580" w:type="dxa"/>
            <w:vAlign w:val="bottom"/>
            <w:gridSpan w:val="5"/>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(12,176</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7"/>
              </w:rPr>
              <w:t>(16,463)</w:t>
            </w:r>
          </w:p>
        </w:tc>
        <w:tc>
          <w:tcPr>
            <w:tcW w:w="1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7"/>
              </w:rPr>
              <w:t>(17,679)</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(17,089)</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(21,711​​​)</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(28,997)</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(38,582)</w:t>
            </w:r>
          </w:p>
        </w:tc>
        <w:tc>
          <w:tcPr>
            <w:tcW w:w="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(58,166​​​)</w:t>
            </w:r>
            <w:r>
              <w:rPr>
                <w:rFonts w:ascii="Times New Roman" w:cs="Times New Roman" w:eastAsia="Times New Roman" w:hAnsi="Times New Roman"/>
                <w:sz w:val="12"/>
                <w:szCs w:val="12"/>
                <w:b w:val="1"/>
                <w:bCs w:val="1"/>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(106,531​​​)</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(139,377)</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(163,246)</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20"/>
                <w:szCs w:val="20"/>
                <w:color w:val="auto"/>
              </w:rPr>
            </w:pPr>
            <w:r>
              <w:rPr>
                <w:rFonts w:ascii="Times New Roman" w:cs="Times New Roman" w:eastAsia="Times New Roman" w:hAnsi="Times New Roman"/>
                <w:sz w:val="12"/>
                <w:szCs w:val="12"/>
                <w:color w:val="auto"/>
              </w:rPr>
              <w:t>Storage and logistics costs</w:t>
            </w:r>
          </w:p>
        </w:tc>
        <w:tc>
          <w:tcPr>
            <w:tcW w:w="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(2,128)</w:t>
            </w:r>
          </w:p>
        </w:tc>
        <w:tc>
          <w:tcPr>
            <w:tcW w:w="580" w:type="dxa"/>
            <w:vAlign w:val="bottom"/>
            <w:gridSpan w:val="5"/>
          </w:tcPr>
          <w:p>
            <w:pPr>
              <w:jc w:val="right"/>
              <w:ind w:right="2"/>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(2,056</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(3,467)</w:t>
            </w:r>
          </w:p>
        </w:tc>
        <w:tc>
          <w:tcPr>
            <w:tcW w:w="12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(4,802)</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(9,868)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(16,352​​​)</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(28,962)</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(44,685)</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(48,418​​​)</w:t>
            </w:r>
            <w:r>
              <w:rPr>
                <w:rFonts w:ascii="Times New Roman" w:cs="Times New Roman" w:eastAsia="Times New Roman" w:hAnsi="Times New Roman"/>
                <w:sz w:val="12"/>
                <w:szCs w:val="12"/>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(61,639​​​)</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(67,282)</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(66,483) ​</w:t>
            </w:r>
          </w:p>
        </w:tc>
        <w:tc>
          <w:tcPr>
            <w:tcW w:w="0" w:type="dxa"/>
            <w:vAlign w:val="bottom"/>
          </w:tcPr>
          <w:p>
            <w:pPr>
              <w:spacing w:after="0"/>
              <w:rPr>
                <w:sz w:val="1"/>
                <w:szCs w:val="1"/>
                <w:color w:val="auto"/>
              </w:rPr>
            </w:pPr>
          </w:p>
        </w:tc>
      </w:tr>
      <w:tr>
        <w:trPr>
          <w:trHeight w:val="162"/>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operating costs</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(16,460)</w:t>
            </w:r>
          </w:p>
        </w:tc>
        <w:tc>
          <w:tcPr>
            <w:tcW w:w="580" w:type="dxa"/>
            <w:vAlign w:val="bottom"/>
            <w:gridSpan w:val="5"/>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(18,401</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7"/>
              </w:rPr>
              <w:t>(18,319)</w:t>
            </w:r>
          </w:p>
        </w:tc>
        <w:tc>
          <w:tcPr>
            <w:tcW w:w="1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7"/>
              </w:rPr>
              <w:t>(22,595)</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(28,784)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(44,252​​​)</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(89,023)</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(110,714)</w:t>
            </w:r>
          </w:p>
        </w:tc>
        <w:tc>
          <w:tcPr>
            <w:tcW w:w="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(96,009​​​)</w:t>
            </w:r>
            <w:r>
              <w:rPr>
                <w:rFonts w:ascii="Times New Roman" w:cs="Times New Roman" w:eastAsia="Times New Roman" w:hAnsi="Times New Roman"/>
                <w:sz w:val="12"/>
                <w:szCs w:val="12"/>
                <w:b w:val="1"/>
                <w:bCs w:val="1"/>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(127,529​​​)</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(166,696)</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(182,387)</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6"/>
        </w:trPr>
        <w:tc>
          <w:tcPr>
            <w:tcW w:w="1880" w:type="dxa"/>
            <w:vAlign w:val="bottom"/>
          </w:tcPr>
          <w:p>
            <w:pPr>
              <w:spacing w:after="0"/>
              <w:rPr>
                <w:sz w:val="20"/>
                <w:szCs w:val="20"/>
                <w:color w:val="auto"/>
              </w:rPr>
            </w:pPr>
            <w:r>
              <w:rPr>
                <w:rFonts w:ascii="Times New Roman" w:cs="Times New Roman" w:eastAsia="Times New Roman" w:hAnsi="Times New Roman"/>
                <w:sz w:val="12"/>
                <w:szCs w:val="12"/>
                <w:color w:val="auto"/>
              </w:rPr>
              <w:t>Sales and marketing expenses</w:t>
            </w:r>
          </w:p>
        </w:tc>
        <w:tc>
          <w:tcPr>
            <w:tcW w:w="6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(14,393)</w:t>
            </w:r>
          </w:p>
        </w:tc>
        <w:tc>
          <w:tcPr>
            <w:tcW w:w="580" w:type="dxa"/>
            <w:vAlign w:val="bottom"/>
            <w:gridSpan w:val="5"/>
          </w:tcPr>
          <w:p>
            <w:pPr>
              <w:jc w:val="right"/>
              <w:ind w:right="2"/>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(17,741</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7"/>
              </w:rPr>
              <w:t>(19,265)</w:t>
            </w:r>
          </w:p>
        </w:tc>
        <w:tc>
          <w:tcPr>
            <w:tcW w:w="12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97"/>
              </w:rPr>
              <w:t>(22,206)</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(19,794)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(39,660​​​)</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(85,023)</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(117,086)</w:t>
            </w:r>
          </w:p>
        </w:tc>
        <w:tc>
          <w:tcPr>
            <w:tcW w:w="1300" w:type="dxa"/>
            <w:vAlign w:val="bottom"/>
            <w:gridSpan w:val="7"/>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(112,540​​​)</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(249,028​​​)</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(351,687)</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(395,656) ​</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(24,198)</w:t>
            </w:r>
          </w:p>
        </w:tc>
        <w:tc>
          <w:tcPr>
            <w:tcW w:w="580" w:type="dxa"/>
            <w:vAlign w:val="bottom"/>
            <w:gridSpan w:val="5"/>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(22,708</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7"/>
              </w:rPr>
              <w:t>(25,003)</w:t>
            </w:r>
          </w:p>
        </w:tc>
        <w:tc>
          <w:tcPr>
            <w:tcW w:w="1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7"/>
              </w:rPr>
              <w:t>(27,621)</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(32,230)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(55,987​​​)</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(87,041)</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(187,841)</w:t>
            </w:r>
          </w:p>
        </w:tc>
        <w:tc>
          <w:tcPr>
            <w:tcW w:w="1300" w:type="dxa"/>
            <w:vAlign w:val="bottom"/>
            <w:tcBorders>
              <w:right w:val="single" w:sz="8" w:color="CCEEFF"/>
            </w:tcBorders>
            <w:gridSpan w:val="7"/>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(217,673​​​)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(235,497​​​)</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(323,906)</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(336,311)</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6"/>
        </w:trPr>
        <w:tc>
          <w:tcPr>
            <w:tcW w:w="1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6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​(102,435)</w:t>
            </w:r>
          </w:p>
        </w:tc>
        <w:tc>
          <w:tcPr>
            <w:tcW w:w="580" w:type="dxa"/>
            <w:vAlign w:val="bottom"/>
            <w:gridSpan w:val="5"/>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​​​​(119,648​​)</w:t>
            </w:r>
          </w:p>
        </w:tc>
        <w:tc>
          <w:tcPr>
            <w:tcW w:w="6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​(167,055)</w:t>
            </w:r>
          </w:p>
        </w:tc>
        <w:tc>
          <w:tcPr>
            <w:tcW w:w="12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​(218,356)</w:t>
            </w:r>
          </w:p>
        </w:tc>
        <w:tc>
          <w:tcPr>
            <w:tcW w:w="5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 ​(336,887)</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​​​​(581,030​​​)</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​(1,077,395)</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​(1,570,756)</w:t>
            </w:r>
          </w:p>
        </w:tc>
        <w:tc>
          <w:tcPr>
            <w:tcW w:w="1300" w:type="dxa"/>
            <w:vAlign w:val="bottom"/>
            <w:gridSpan w:val="7"/>
          </w:tcPr>
          <w:p>
            <w:pPr>
              <w:jc w:val="right"/>
              <w:spacing w:after="0"/>
              <w:rPr>
                <w:sz w:val="20"/>
                <w:szCs w:val="20"/>
                <w:color w:val="auto"/>
              </w:rPr>
            </w:pPr>
            <w:r>
              <w:rPr>
                <w:rFonts w:ascii="Times New Roman" w:cs="Times New Roman" w:eastAsia="Times New Roman" w:hAnsi="Times New Roman"/>
                <w:sz w:val="12"/>
                <w:szCs w:val="12"/>
                <w:b w:val="1"/>
                <w:bCs w:val="1"/>
                <w:color w:val="auto"/>
              </w:rPr>
              <w:t>​​​​(1,800,628​​​​(2,279,414​​​))</w:t>
            </w: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​(2,746,998)</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​(2,691,943)</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(Loss)/income from operations</w:t>
            </w:r>
          </w:p>
        </w:tc>
        <w:tc>
          <w:tcPr>
            <w:tcW w:w="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 ​ (47,612)</w:t>
            </w:r>
          </w:p>
        </w:tc>
        <w:tc>
          <w:tcPr>
            <w:tcW w:w="580" w:type="dxa"/>
            <w:vAlign w:val="bottom"/>
            <w:gridSpan w:val="5"/>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 (45,758​​)</w:t>
            </w:r>
          </w:p>
        </w:tc>
        <w:tc>
          <w:tcPr>
            <w:tcW w:w="64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 (19,748)</w:t>
            </w:r>
          </w:p>
        </w:tc>
        <w:tc>
          <w:tcPr>
            <w:tcW w:w="1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(2,723)</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44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80,140</w:t>
            </w:r>
          </w:p>
        </w:tc>
        <w:tc>
          <w:tcPr>
            <w:tcW w:w="6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 151,355​​​</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366,316</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476,292</w:t>
            </w:r>
          </w:p>
        </w:tc>
        <w:tc>
          <w:tcPr>
            <w:tcW w:w="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705,943​​​​</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743,923​​​</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794,250</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642,483</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7"/>
        </w:trPr>
        <w:tc>
          <w:tcPr>
            <w:tcW w:w="1880" w:type="dxa"/>
            <w:vAlign w:val="bottom"/>
          </w:tcPr>
          <w:p>
            <w:pPr>
              <w:spacing w:after="0"/>
              <w:rPr>
                <w:sz w:val="20"/>
                <w:szCs w:val="20"/>
                <w:color w:val="auto"/>
              </w:rPr>
            </w:pPr>
            <w:r>
              <w:rPr>
                <w:rFonts w:ascii="Times New Roman" w:cs="Times New Roman" w:eastAsia="Times New Roman" w:hAnsi="Times New Roman"/>
                <w:sz w:val="12"/>
                <w:szCs w:val="12"/>
                <w:color w:val="auto"/>
              </w:rPr>
              <w:t>Fair value change of forward contract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related to Series B+ preferred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shares</w:t>
            </w:r>
          </w:p>
        </w:tc>
        <w:tc>
          <w:tcPr>
            <w:tcW w:w="6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p>
        </w:tc>
        <w:tc>
          <w:tcPr>
            <w:tcW w:w="460" w:type="dxa"/>
            <w:vAlign w:val="bottom"/>
            <w:gridSpan w:val="3"/>
          </w:tcPr>
          <w:p>
            <w:pPr>
              <w:jc w:val="right"/>
              <w:ind w:right="2"/>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(105,483)</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320" w:type="dxa"/>
            <w:vAlign w:val="bottom"/>
          </w:tcPr>
          <w:p>
            <w:pPr>
              <w:spacing w:after="0"/>
              <w:rPr>
                <w:sz w:val="12"/>
                <w:szCs w:val="1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Financial income/(expense), net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46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668</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right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202</w:t>
            </w:r>
          </w:p>
        </w:tc>
        <w:tc>
          <w:tcPr>
            <w:tcW w:w="1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right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219</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44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3,617</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12,858</w:t>
            </w:r>
          </w:p>
        </w:tc>
        <w:tc>
          <w:tcPr>
            <w:tcW w:w="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9,217​​​</w:t>
            </w:r>
            <w:r>
              <w:rPr>
                <w:rFonts w:ascii="Times New Roman" w:cs="Times New Roman" w:eastAsia="Times New Roman" w:hAnsi="Times New Roman"/>
                <w:sz w:val="12"/>
                <w:szCs w:val="12"/>
                <w:b w:val="1"/>
                <w:bCs w:val="1"/>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7,979​​​</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21,324</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(1,214)</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5"/>
        </w:trPr>
        <w:tc>
          <w:tcPr>
            <w:tcW w:w="1880" w:type="dxa"/>
            <w:vAlign w:val="bottom"/>
          </w:tcPr>
          <w:p>
            <w:pPr>
              <w:spacing w:after="0"/>
              <w:rPr>
                <w:sz w:val="20"/>
                <w:szCs w:val="20"/>
                <w:color w:val="auto"/>
              </w:rPr>
            </w:pPr>
            <w:r>
              <w:rPr>
                <w:rFonts w:ascii="Times New Roman" w:cs="Times New Roman" w:eastAsia="Times New Roman" w:hAnsi="Times New Roman"/>
                <w:sz w:val="12"/>
                <w:szCs w:val="12"/>
                <w:color w:val="auto"/>
              </w:rPr>
              <w:t>Others, net</w:t>
            </w:r>
          </w:p>
        </w:tc>
        <w:tc>
          <w:tcPr>
            <w:tcW w:w="6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2,573</w:t>
            </w:r>
          </w:p>
        </w:tc>
        <w:tc>
          <w:tcPr>
            <w:tcW w:w="580" w:type="dxa"/>
            <w:vAlign w:val="bottom"/>
            <w:gridSpan w:val="5"/>
          </w:tcPr>
          <w:p>
            <w:pPr>
              <w:jc w:val="right"/>
              <w:ind w:right="2"/>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(1,453</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677</w:t>
            </w:r>
          </w:p>
        </w:tc>
        <w:tc>
          <w:tcPr>
            <w:tcW w:w="12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(251)</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3,291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16,001​​​</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4,758</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(3,359)</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29,340​​​</w:t>
            </w:r>
            <w:r>
              <w:rPr>
                <w:rFonts w:ascii="Times New Roman" w:cs="Times New Roman" w:eastAsia="Times New Roman" w:hAnsi="Times New Roman"/>
                <w:sz w:val="12"/>
                <w:szCs w:val="12"/>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35,140​​​</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(7,282)</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60,995</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(Loss)/income before income tax</w:t>
            </w:r>
          </w:p>
        </w:tc>
        <w:tc>
          <w:tcPr>
            <w:tcW w:w="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 ​ (44,213)</w:t>
            </w:r>
          </w:p>
        </w:tc>
        <w:tc>
          <w:tcPr>
            <w:tcW w:w="580" w:type="dxa"/>
            <w:vAlign w:val="bottom"/>
            <w:gridSpan w:val="5"/>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 (46,543​​)</w:t>
            </w:r>
          </w:p>
        </w:tc>
        <w:tc>
          <w:tcPr>
            <w:tcW w:w="64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 (18,869)</w:t>
            </w:r>
          </w:p>
        </w:tc>
        <w:tc>
          <w:tcPr>
            <w:tcW w:w="1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(2,755)</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44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83,627</w:t>
            </w:r>
          </w:p>
        </w:tc>
        <w:tc>
          <w:tcPr>
            <w:tcW w:w="6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 167,701​​​</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374,691</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380,308</w:t>
            </w:r>
          </w:p>
        </w:tc>
        <w:tc>
          <w:tcPr>
            <w:tcW w:w="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744,500​​​​</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787,042​​​</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808,292</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702,264</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75"/>
        </w:trPr>
        <w:tc>
          <w:tcPr>
            <w:tcW w:w="1880" w:type="dxa"/>
            <w:vAlign w:val="bottom"/>
          </w:tcPr>
          <w:p>
            <w:pPr>
              <w:spacing w:after="0"/>
              <w:rPr>
                <w:sz w:val="20"/>
                <w:szCs w:val="20"/>
                <w:color w:val="auto"/>
              </w:rPr>
            </w:pPr>
            <w:r>
              <w:rPr>
                <w:rFonts w:ascii="Times New Roman" w:cs="Times New Roman" w:eastAsia="Times New Roman" w:hAnsi="Times New Roman"/>
                <w:sz w:val="12"/>
                <w:szCs w:val="12"/>
                <w:color w:val="auto"/>
              </w:rPr>
              <w:t>Income tax benefit/(expense)</w:t>
            </w:r>
          </w:p>
        </w:tc>
        <w:tc>
          <w:tcPr>
            <w:tcW w:w="6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10,259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460" w:type="dxa"/>
            <w:vAlign w:val="bottom"/>
            <w:gridSpan w:val="3"/>
          </w:tcPr>
          <w:p>
            <w:pPr>
              <w:jc w:val="right"/>
              <w:ind w:right="2"/>
              <w:spacing w:after="0"/>
              <w:rPr>
                <w:sz w:val="20"/>
                <w:szCs w:val="20"/>
                <w:color w:val="auto"/>
              </w:rPr>
            </w:pPr>
            <w:r>
              <w:rPr>
                <w:rFonts w:ascii="Times New Roman" w:cs="Times New Roman" w:eastAsia="Times New Roman" w:hAnsi="Times New Roman"/>
                <w:sz w:val="12"/>
                <w:szCs w:val="12"/>
                <w:color w:val="auto"/>
              </w:rPr>
              <w:t>8,691</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3,104</w:t>
            </w:r>
          </w:p>
        </w:tc>
        <w:tc>
          <w:tcPr>
            <w:tcW w:w="12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(390)</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(19,458)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(38,657​​​)</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(75,612)</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(70,034)</w:t>
            </w:r>
          </w:p>
        </w:tc>
        <w:tc>
          <w:tcPr>
            <w:tcW w:w="1300" w:type="dxa"/>
            <w:vAlign w:val="bottom"/>
            <w:gridSpan w:val="7"/>
          </w:tcPr>
          <w:p>
            <w:pPr>
              <w:jc w:val="right"/>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(149,398​​​)</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(158,321​​​)</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(161,659)</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(58,129)</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(loss)/income</w:t>
            </w:r>
          </w:p>
        </w:tc>
        <w:tc>
          <w:tcPr>
            <w:tcW w:w="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 ​ (33,954)</w:t>
            </w:r>
          </w:p>
        </w:tc>
        <w:tc>
          <w:tcPr>
            <w:tcW w:w="580" w:type="dxa"/>
            <w:vAlign w:val="bottom"/>
            <w:gridSpan w:val="5"/>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 (37,852​​)</w:t>
            </w:r>
          </w:p>
        </w:tc>
        <w:tc>
          <w:tcPr>
            <w:tcW w:w="64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 (15,765)</w:t>
            </w:r>
          </w:p>
        </w:tc>
        <w:tc>
          <w:tcPr>
            <w:tcW w:w="1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(3,145)</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 ​</w:t>
            </w:r>
          </w:p>
        </w:tc>
        <w:tc>
          <w:tcPr>
            <w:tcW w:w="44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64,169</w:t>
            </w:r>
          </w:p>
        </w:tc>
        <w:tc>
          <w:tcPr>
            <w:tcW w:w="6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 129,044​​​</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299,079</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310,274</w:t>
            </w:r>
          </w:p>
        </w:tc>
        <w:tc>
          <w:tcPr>
            <w:tcW w:w="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595,102​​​​</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628,721​​​</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Borders>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646,633</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644,135</w:t>
            </w:r>
          </w:p>
        </w:tc>
        <w:tc>
          <w:tcPr>
            <w:tcW w:w="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6020435</wp:posOffset>
            </wp:positionH>
            <wp:positionV relativeFrom="paragraph">
              <wp:posOffset>-2357120</wp:posOffset>
            </wp:positionV>
            <wp:extent cx="342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5532120</wp:posOffset>
            </wp:positionH>
            <wp:positionV relativeFrom="paragraph">
              <wp:posOffset>-2357120</wp:posOffset>
            </wp:positionV>
            <wp:extent cx="342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-2357120</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-2357120</wp:posOffset>
            </wp:positionV>
            <wp:extent cx="342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-2357120</wp:posOffset>
            </wp:positionV>
            <wp:extent cx="342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-2357120</wp:posOffset>
            </wp:positionV>
            <wp:extent cx="342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-2357120</wp:posOffset>
            </wp:positionV>
            <wp:extent cx="342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-2357120</wp:posOffset>
            </wp:positionV>
            <wp:extent cx="254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-2357120</wp:posOffset>
            </wp:positionV>
            <wp:extent cx="1714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2188845</wp:posOffset>
            </wp:positionH>
            <wp:positionV relativeFrom="paragraph">
              <wp:posOffset>-2357120</wp:posOffset>
            </wp:positionV>
            <wp:extent cx="1714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-2357120</wp:posOffset>
            </wp:positionV>
            <wp:extent cx="1714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178" w:lineRule="exact"/>
        <w:rPr>
          <w:sz w:val="20"/>
          <w:szCs w:val="20"/>
          <w:color w:val="auto"/>
        </w:rPr>
      </w:pPr>
    </w:p>
    <w:p>
      <w:pPr>
        <w:jc w:val="both"/>
        <w:ind w:left="1260" w:right="800" w:firstLine="360"/>
        <w:spacing w:after="0" w:line="257" w:lineRule="auto"/>
        <w:rPr>
          <w:sz w:val="20"/>
          <w:szCs w:val="20"/>
          <w:color w:val="auto"/>
        </w:rPr>
      </w:pPr>
      <w:r>
        <w:rPr>
          <w:rFonts w:ascii="Times New Roman" w:cs="Times New Roman" w:eastAsia="Times New Roman" w:hAnsi="Times New Roman"/>
          <w:sz w:val="18"/>
          <w:szCs w:val="18"/>
          <w:color w:val="auto"/>
        </w:rPr>
        <w:t>We achieved rapid, continued revenue overall growth over the last twelve quarters ended December 31, 2024, primarily driven by the expansion of our teahouse network and as a result, GMV generated by such teahouses. Our financial performance in the fourth quarter of 2024 slightly declined compared to the preceding quarter primarily due to the normalized store-level performance along with our teahouse network expansion and the reduced consumer demand in winter season, with a more pronounced impact in China’s northern regions.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62" w:lineRule="exact"/>
        <w:rPr>
          <w:sz w:val="20"/>
          <w:szCs w:val="20"/>
          <w:color w:val="auto"/>
        </w:rPr>
      </w:pPr>
    </w:p>
    <w:p>
      <w:pPr>
        <w:jc w:val="both"/>
        <w:ind w:left="1260" w:right="800" w:firstLine="360"/>
        <w:spacing w:after="0" w:line="256" w:lineRule="auto"/>
        <w:rPr>
          <w:sz w:val="20"/>
          <w:szCs w:val="20"/>
          <w:color w:val="auto"/>
        </w:rPr>
      </w:pPr>
      <w:r>
        <w:rPr>
          <w:rFonts w:ascii="Times New Roman" w:cs="Times New Roman" w:eastAsia="Times New Roman" w:hAnsi="Times New Roman"/>
          <w:sz w:val="18"/>
          <w:szCs w:val="18"/>
          <w:color w:val="auto"/>
        </w:rPr>
        <w:t>We consider adjusted net (loss)/income, a non-GAAP financial measure, as a supplemental measure to review and assess our operating performance. The presentation of this non-GAAP financial measure is not intended to be considered in isolation or as a substitute for the financial information prepared and presented in accordance with U.S. GAAP. We present this non-GAAP financial measure because it is used by our management to evaluate our operating performance and formulate business plans. We also believe that the use of this non-GAAP measure facilitates investors’ assessment of our operating performance.</w:t>
      </w:r>
    </w:p>
    <w:p>
      <w:pPr>
        <w:spacing w:after="0" w:line="120" w:lineRule="exact"/>
        <w:rPr>
          <w:sz w:val="20"/>
          <w:szCs w:val="20"/>
          <w:color w:val="auto"/>
        </w:rPr>
      </w:pPr>
    </w:p>
    <w:p>
      <w:pPr>
        <w:jc w:val="both"/>
        <w:ind w:left="1260" w:right="800" w:firstLine="360"/>
        <w:spacing w:after="0" w:line="254" w:lineRule="auto"/>
        <w:rPr>
          <w:sz w:val="20"/>
          <w:szCs w:val="20"/>
          <w:color w:val="auto"/>
        </w:rPr>
      </w:pPr>
      <w:r>
        <w:rPr>
          <w:rFonts w:ascii="Times New Roman" w:cs="Times New Roman" w:eastAsia="Times New Roman" w:hAnsi="Times New Roman"/>
          <w:sz w:val="18"/>
          <w:szCs w:val="18"/>
          <w:color w:val="auto"/>
        </w:rPr>
        <w:t>This non-GAAP financial measure is not defined under U.S. GAAP and is not presented in accordance with U.S. GAAP. This non-GAAP financial measure has limitations as an analytical tool. One of the key limitations of using this non-GAAP financial measure is that it does not reflect all items of income and expense that affect our operations. Further, this non-GAAP measure may differ from the non-GAAP information used by other companies, including peer companies, and therefore its comparability may be limited. We compensate for these limitations by reconciling this non-GAAP financial measures to the nearest U.S. GAAP performance measure, all of which should be considered when evaluating our performance. We encourage you to review our financial information in its entirety and not rely on a single financial measure.</w:t>
      </w:r>
    </w:p>
    <w:p>
      <w:pPr>
        <w:spacing w:after="0" w:line="327" w:lineRule="exact"/>
        <w:rPr>
          <w:sz w:val="20"/>
          <w:szCs w:val="20"/>
          <w:color w:val="auto"/>
        </w:rPr>
      </w:pPr>
    </w:p>
    <w:p>
      <w:pPr>
        <w:jc w:val="both"/>
        <w:ind w:left="1260" w:right="800" w:firstLine="360"/>
        <w:spacing w:after="0" w:line="257" w:lineRule="auto"/>
        <w:rPr>
          <w:sz w:val="20"/>
          <w:szCs w:val="20"/>
          <w:color w:val="auto"/>
        </w:rPr>
      </w:pPr>
      <w:r>
        <w:rPr>
          <w:rFonts w:ascii="Times New Roman" w:cs="Times New Roman" w:eastAsia="Times New Roman" w:hAnsi="Times New Roman"/>
          <w:sz w:val="18"/>
          <w:szCs w:val="18"/>
          <w:color w:val="auto"/>
        </w:rPr>
        <w:t>Our non-GAAP financial measure reflects adjustments for share-based compensation expense and fair value change of a forward contract related to Series B+ preferred shares. We believe that the exclusion of share-based compensation expense is appropriate because it eliminates the impact of non-cash expenses that are based upon valuation methodologies and assumptions that vary over time, and the amount of the expense can vary significantly between companies due to factors that are unrelated to their core operating performance</w:t>
      </w:r>
    </w:p>
    <w:p>
      <w:pPr>
        <w:sectPr>
          <w:pgSz w:w="11900" w:h="16838" w:orient="portrait"/>
          <w:cols w:equalWidth="0" w:num="1">
            <w:col w:w="10260"/>
          </w:cols>
          <w:pgMar w:left="580" w:top="97" w:right="105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and that can be outside of their control. Although we exclude share-based compensation expense from our non-GAAP measure, equity compensation has been, and will continue to be, an important part of our future compensation strategy and a significant component of our future expenses and may increase in future periods. Additionally, we believe excluding fair value change loss of a forward contract related to Series B+ preferred shares is appropriate because this loss is non-operational and non-cash, and is not anticipated to lead to future cash payments.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Net (Loss)/Income</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define adjusted net (loss)/income as net (loss)/income excluding share-based compensation expense and the fair value change of a forward contract related to Series B+ preferred shares.</w:t>
      </w:r>
    </w:p>
    <w:p>
      <w:pPr>
        <w:spacing w:after="0" w:line="94"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following table reconciles our adjusted net (loss)/income for the years indicated to the most directly comparable financial measure calculated and presented in accordance with U.S. GAAP, which is net (loss)/​income. There is no tax effect on non-GAAP adjustments, which consist of share-based compensation expenses recorded by the Company and certain PRC subsidiaries of the Company, as well as fair value change of forward contract related to Series B+ preferred shares recorded by Chagee Holdings Limited. Those PRC entities’ share-based compensation expenses were non-deductible pursuant to PRC tax laws. Chagee Holdings Limited, as a company incorporated in Cayman Islands, is not subject to tax on income.</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48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4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gridSpan w:val="2"/>
          </w:tcPr>
          <w:p>
            <w:pPr>
              <w:ind w:left="60"/>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US$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9"/>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3400" w:type="dxa"/>
            <w:vAlign w:val="bottom"/>
            <w:gridSpan w:val="11"/>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(90,716​​)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802,566​​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2,514,591​​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344,498​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Add: Share based compensation</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3,944​​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10,516​​ ​</w:t>
            </w:r>
            <w:r>
              <w:rPr>
                <w:rFonts w:ascii="Times New Roman" w:cs="Times New Roman" w:eastAsia="Times New Roman" w:hAnsi="Times New Roman"/>
                <w:sz w:val="18"/>
                <w:szCs w:val="18"/>
                <w:b w:val="1"/>
                <w:bCs w:val="1"/>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603​​ ​</w:t>
            </w:r>
            <w:r>
              <w:rPr>
                <w:rFonts w:ascii="Times New Roman" w:cs="Times New Roman" w:eastAsia="Times New Roman" w:hAnsi="Times New Roman"/>
                <w:sz w:val="18"/>
                <w:szCs w:val="18"/>
                <w:b w:val="1"/>
                <w:bCs w:val="1"/>
                <w:color w:val="auto"/>
              </w:rPr>
              <w:t>​</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1"/>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of forward contract related to Series B+</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6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105,483​​ ​</w:t>
            </w:r>
            <w:r>
              <w:rPr>
                <w:rFonts w:ascii="Times New Roman" w:cs="Times New Roman" w:eastAsia="Times New Roman" w:hAnsi="Times New Roman"/>
                <w:sz w:val="18"/>
                <w:szCs w:val="18"/>
                <w:b w:val="1"/>
                <w:bCs w:val="1"/>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net (loss)/income</w:t>
            </w:r>
          </w:p>
        </w:tc>
        <w:tc>
          <w:tcPr>
            <w:tcW w:w="24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​(86,772)</w:t>
            </w: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​918,565</w:t>
            </w:r>
          </w:p>
        </w:tc>
        <w:tc>
          <w:tcPr>
            <w:tcW w:w="240" w:type="dxa"/>
            <w:vAlign w:val="bottom"/>
          </w:tcPr>
          <w:p>
            <w:pPr>
              <w:spacing w:after="0"/>
              <w:rPr>
                <w:sz w:val="17"/>
                <w:szCs w:val="17"/>
                <w:color w:val="auto"/>
              </w:rPr>
            </w:pPr>
          </w:p>
        </w:tc>
        <w:tc>
          <w:tcPr>
            <w:tcW w:w="72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​2,515,194</w:t>
            </w:r>
          </w:p>
        </w:tc>
        <w:tc>
          <w:tcPr>
            <w:tcW w:w="240" w:type="dxa"/>
            <w:vAlign w:val="bottom"/>
          </w:tcPr>
          <w:p>
            <w:pPr>
              <w:spacing w:after="0"/>
              <w:rPr>
                <w:sz w:val="17"/>
                <w:szCs w:val="17"/>
                <w:color w:val="auto"/>
              </w:rPr>
            </w:pPr>
          </w:p>
        </w:tc>
        <w:tc>
          <w:tcPr>
            <w:tcW w:w="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5"/>
              </w:rPr>
              <w:t>​344,581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1"/>
        </w:trPr>
        <w:tc>
          <w:tcPr>
            <w:tcW w:w="4800" w:type="dxa"/>
            <w:vAlign w:val="bottom"/>
          </w:tcPr>
          <w:p>
            <w:pPr>
              <w:spacing w:after="0"/>
              <w:rPr>
                <w:sz w:val="3"/>
                <w:szCs w:val="3"/>
                <w:color w:val="auto"/>
              </w:rPr>
            </w:pPr>
          </w:p>
        </w:tc>
        <w:tc>
          <w:tcPr>
            <w:tcW w:w="320" w:type="dxa"/>
            <w:vAlign w:val="bottom"/>
            <w:gridSpan w:val="2"/>
          </w:tcPr>
          <w:p>
            <w:pPr>
              <w:ind w:left="60"/>
              <w:spacing w:after="0" w:line="21" w:lineRule="exact"/>
              <w:rPr>
                <w:sz w:val="20"/>
                <w:szCs w:val="20"/>
                <w:color w:val="auto"/>
              </w:rPr>
            </w:pPr>
            <w:r>
              <w:rPr>
                <w:rFonts w:ascii="Times New Roman" w:cs="Times New Roman" w:eastAsia="Times New Roman" w:hAnsi="Times New Roman"/>
                <w:sz w:val="2"/>
                <w:szCs w:val="2"/>
                <w:b w:val="1"/>
                <w:bCs w:val="1"/>
                <w:color w:val="auto"/>
              </w:rPr>
              <w:t>​ ​​</w:t>
            </w:r>
          </w:p>
        </w:tc>
        <w:tc>
          <w:tcPr>
            <w:tcW w:w="480" w:type="dxa"/>
            <w:vAlign w:val="bottom"/>
          </w:tcPr>
          <w:p>
            <w:pPr>
              <w:spacing w:after="0"/>
              <w:rPr>
                <w:sz w:val="3"/>
                <w:szCs w:val="3"/>
                <w:color w:val="auto"/>
              </w:rPr>
            </w:pPr>
          </w:p>
        </w:tc>
        <w:tc>
          <w:tcPr>
            <w:tcW w:w="820" w:type="dxa"/>
            <w:vAlign w:val="bottom"/>
            <w:gridSpan w:val="2"/>
          </w:tcPr>
          <w:p>
            <w:pPr>
              <w:jc w:val="center"/>
              <w:ind w:right="464"/>
              <w:spacing w:after="0" w:line="21" w:lineRule="exact"/>
              <w:rPr>
                <w:sz w:val="20"/>
                <w:szCs w:val="20"/>
                <w:color w:val="auto"/>
              </w:rPr>
            </w:pPr>
            <w:r>
              <w:rPr>
                <w:rFonts w:ascii="Times New Roman" w:cs="Times New Roman" w:eastAsia="Times New Roman" w:hAnsi="Times New Roman"/>
                <w:sz w:val="2"/>
                <w:szCs w:val="2"/>
                <w:b w:val="1"/>
                <w:bCs w:val="1"/>
                <w:color w:val="auto"/>
              </w:rPr>
              <w:t>​​ ​​</w:t>
            </w:r>
          </w:p>
        </w:tc>
        <w:tc>
          <w:tcPr>
            <w:tcW w:w="360" w:type="dxa"/>
            <w:vAlign w:val="bottom"/>
            <w:gridSpan w:val="2"/>
          </w:tcPr>
          <w:p>
            <w:pPr>
              <w:jc w:val="right"/>
              <w:spacing w:after="0" w:line="21" w:lineRule="exact"/>
              <w:rPr>
                <w:sz w:val="20"/>
                <w:szCs w:val="20"/>
                <w:color w:val="auto"/>
              </w:rPr>
            </w:pPr>
            <w:r>
              <w:rPr>
                <w:rFonts w:ascii="Times New Roman" w:cs="Times New Roman" w:eastAsia="Times New Roman" w:hAnsi="Times New Roman"/>
                <w:sz w:val="2"/>
                <w:szCs w:val="2"/>
                <w:b w:val="1"/>
                <w:bCs w:val="1"/>
                <w:color w:val="auto"/>
              </w:rPr>
              <w:t>​​ ​​</w:t>
            </w:r>
          </w:p>
        </w:tc>
        <w:tc>
          <w:tcPr>
            <w:tcW w:w="600" w:type="dxa"/>
            <w:vAlign w:val="bottom"/>
          </w:tcPr>
          <w:p>
            <w:pPr>
              <w:spacing w:after="0"/>
              <w:rPr>
                <w:sz w:val="3"/>
                <w:szCs w:val="3"/>
                <w:color w:val="auto"/>
              </w:rPr>
            </w:pPr>
          </w:p>
        </w:tc>
        <w:tc>
          <w:tcPr>
            <w:tcW w:w="340" w:type="dxa"/>
            <w:vAlign w:val="bottom"/>
            <w:gridSpan w:val="2"/>
          </w:tcPr>
          <w:p>
            <w:pPr>
              <w:jc w:val="right"/>
              <w:spacing w:after="0" w:line="21" w:lineRule="exact"/>
              <w:rPr>
                <w:sz w:val="20"/>
                <w:szCs w:val="20"/>
                <w:color w:val="auto"/>
              </w:rPr>
            </w:pPr>
            <w:r>
              <w:rPr>
                <w:rFonts w:ascii="Times New Roman" w:cs="Times New Roman" w:eastAsia="Times New Roman" w:hAnsi="Times New Roman"/>
                <w:sz w:val="2"/>
                <w:szCs w:val="2"/>
                <w:b w:val="1"/>
                <w:bCs w:val="1"/>
                <w:color w:val="auto"/>
              </w:rPr>
              <w:t>​​ ​​</w:t>
            </w:r>
          </w:p>
        </w:tc>
        <w:tc>
          <w:tcPr>
            <w:tcW w:w="4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-908050</wp:posOffset>
            </wp:positionV>
            <wp:extent cx="137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-908050</wp:posOffset>
            </wp:positionV>
            <wp:extent cx="137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-908050</wp:posOffset>
            </wp:positionV>
            <wp:extent cx="137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Discussion of Key Balance Sheet Items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48"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Our cash and cash equivalents consist primarily of bank deposits. The total amount of our cash and cash equivalents increased from RMB2,322.7 million as of December 31, 2023 to RMB4,754.8 million (US$651.4 million) as of December 31, 2024, primarily due to the heightened cash generated from our operating activities, which was in line with our rapid business expansion and revenue growth. For details, see “— Cash Flows.”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Time deposits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time deposits consist primarily of bank deposits. The total amount of our time deposits was RMB100.0 million as of December 31, 2023 . The total amount of our time deposits remained unchanged at RMB100.0 million (US$13.7 million) as of December 31, 2024.</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accounts receivable, net primarily represents outstanding amounts due from our franchise partners, to which we provide products and services under our franchise arrangements. The total amount of our accounts receivable, net increased from RMB92.8 million as of December 31, 2023 to RMB122.0 million (US$16.7 million) as of December 31, 2024, which aligns with our franchise network expansion and overall business growth.</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Our inventories consist raw materials, packaging, teahouse equipment and other supplies. The total amount of our inventories increased from RMB41.5 million as of December 31, 2023 to RMB132.1 million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(US$18.1 million) as of December 31, 2024, primarily driven by greater in-store preparation for our overseas stores due to the expansion of our business, as well as the establishment of a manufacturing factory, which resulted in higher packaging inventories.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Right-of-use assets, net</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right-of-use assets, net consist primarily of leased premises for our company-owned teahouses and office space. The total amount of our right-of-use assets, net increased from RMB114.2 million as of December 31, 2023 to RMB542.2 million (US$74.3 million) as of December 31, 2024, primarily due to the addition of our office space and company-owned teahouses.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Our accounts payable primarily represents amounts payable to raw materials and teahouse equipment suppliers, other product and service providers. The total amount of our accounts payable increased from RMB448.3 million as of December 31, 2023 to RMB597.1 million (US$81.8 million) as of December 31, 2024, which was generally in line with our rising procurement volume to address growing consumer demands.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p>
      <w:pPr>
        <w:spacing w:after="0" w:line="14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Our accrued expenses and other liabilities consist primarily of (i) accrued employee payroll and share-based compensation, (ii) payables for accrued service fees, and (iii) amounts deposited by franchise partners pursuant to our franchise contracts, which will be returned to the franchise partners upon the fulfillment of the franchise contracts, (iv) payables for property and equipment and (v) others. The total amount of our accrued expenses and other liabilities increased from RMB467.3 million as of December 31, 2023 to RMB1,022.7 million (US$140.1 million) as of December 31, 2024, which was attributed primarily to the accrued employee payroll and welfare benefits, accrued service fees, payables for property and equipment, franchise deposits and others.</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Our primary need for liquidity is to fund our rapid teahouse network expansion, working capital requirements, capital expenditures, lease obligations and for general corporate needs. Prior to this offering, our principal sources of liquidity have been cash generated from operating activities and contributions from shareholders. As of December 31, 2024, we had a total of RMB4,754.8 million (US$651.4 million) in cash and cash equivalents, RMB13.9 million (US$1.9 million) in restricted cash, and RMB100.0 million (US$13.7 million) in time deposits, of which 95.1% were denominated in Renminbi and held by our subsidiaries in China. The remaining cash and cash equivalents were mainly denominated in Renminbi and US dollars and held by Chagee Holdings Limited and its offshore subsidiaries. Our cash and cash equivalents consist primarily of bank deposits. Based on our current operating plan, we believe that our existing cash and cash equivalents and anticipated cash flow from operations will be sufficient to meet our anticipated working capital requirements and capital expenditures for at least the next 12 months following the date of this prospectus.</w:t>
      </w:r>
    </w:p>
    <w:p>
      <w:pPr>
        <w:spacing w:after="0" w:line="333"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may, however, require additional cash due to changing business conditions or other future developments, including any investments or acquisitions we may decide to pursue. If our existing cash is insufficient to meet our requirements, we may seek to issue debt or equity securities or obtain credit facilities. Financing may be unavailable in the amounts we need or on terms acceptable to us, if at all. Issuance of additional equity securities, including convertible debt securities, would dilute our earnings per share. The incurrence of debt would divert cash for working capital and capital expenditures to service debt obligations and could result in operating and financial covenants that restrict our operations and our ability to pay dividends to our shareholders. If we are unable to obtain additional equity or debt financing as required, our business operations and prospects may suffer. See “Risk Factors — Risks Relating to Our Business and Industry — We have significant working capital requirements and have experienced working capital deficits in the past. If we continue to experience working capital deficits in the future, our business, liquidity, financial condition and results of operations may be materially and adversely affected.”</w:t>
      </w:r>
    </w:p>
    <w:p>
      <w:pPr>
        <w:spacing w:after="0" w:line="11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a holding company with no business operations of our own, we conduct our operations primarily through our subsidiaries in China and other countries. In utilizing the net proceeds we expect to receive from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this offering, we may make capital contributions to our PRC subsidiaries, acquire or establish new PRC subsidiaries or give loans to our PRC subsidiaries for further expansion of our teahouse network. However, most of these uses are subject to PRC regulations. See “Risk Factors — Risks Relating to Doing Business in China — PRC regulation of loans to and direct investment in PRC entities by offshore holding companies and currency conversion may delay us from using the proceeds of this offering to make loans or additional capital contributions to our PRC subsidiaries, which could materially and adversely affect our liquidity and our ability to fund and expand our business” and “Use of Proceeds.”</w:t>
      </w:r>
    </w:p>
    <w:p>
      <w:pPr>
        <w:spacing w:after="0" w:line="11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 large portion of our future net revenues are likely to continue to be denominated in Renminbi. Under existing PRC foreign exchange regulations, Renminbi may be converted into foreign currencies for current account items, including profit distributions, interest payments and trade- and service-related foreign exchange transactions, without prior SAFE approval as long as certain routine procedural requirements are fulfilled. Therefore, our PRC subsidiaries are allowed to pay dividends in foreign currencies to us without prior SAFE approval by following certain routine procedural requirements. However, approval from or registration with relevant government authorities is required where the Renminbi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 See “Risk Factors — Risks Relating to Doing Business in China —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selected consolidated statements of cash flows for the years indicated.</w:t>
      </w:r>
    </w:p>
    <w:p>
      <w:pPr>
        <w:spacing w:after="0" w:line="363"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40" w:type="dxa"/>
            <w:vAlign w:val="bottom"/>
          </w:tcPr>
          <w:p>
            <w:pPr>
              <w:ind w:left="240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8"/>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10"/>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20" w:type="dxa"/>
            <w:vAlign w:val="bottom"/>
            <w:gridSpan w:val="2"/>
          </w:tcPr>
          <w:p>
            <w:pPr>
              <w:ind w:left="244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Pr>
          <w:p>
            <w:pPr>
              <w:spacing w:after="0"/>
              <w:rPr>
                <w:sz w:val="18"/>
                <w:szCs w:val="18"/>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0"/>
        </w:trPr>
        <w:tc>
          <w:tcPr>
            <w:tcW w:w="2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20" w:type="dxa"/>
            <w:vAlign w:val="bottom"/>
            <w:gridSpan w:val="2"/>
          </w:tcPr>
          <w:p>
            <w:pPr>
              <w:ind w:left="244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RMB</w:t>
            </w: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10"/>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40" w:type="dxa"/>
            <w:vAlign w:val="bottom"/>
          </w:tcPr>
          <w:p>
            <w:pPr>
              <w:ind w:left="240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-145415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-145415</wp:posOffset>
            </wp:positionV>
            <wp:extent cx="857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-145415</wp:posOffset>
            </wp:positionV>
            <wp:extent cx="857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-145415</wp:posOffset>
            </wp:positionV>
            <wp:extent cx="857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43,034​​​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1,933,607​​​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2,837,656​​​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388,756​​​</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(10,982​​​)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(146,711​​​)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(229,479​​​)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(31,438​​)​</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344,197​​​</w:t>
            </w:r>
            <w:r>
              <w:rPr>
                <w:rFonts w:ascii="Times New Roman" w:cs="Times New Roman" w:eastAsia="Times New Roman" w:hAnsi="Times New Roman"/>
                <w:sz w:val="18"/>
                <w:szCs w:val="18"/>
                <w:b w:val="1"/>
                <w:bCs w:val="1"/>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(173,932​​​)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(23,828​​)​</w:t>
            </w:r>
          </w:p>
        </w:tc>
        <w:tc>
          <w:tcPr>
            <w:tcW w:w="0" w:type="dxa"/>
            <w:vAlign w:val="bottom"/>
          </w:tcPr>
          <w:p>
            <w:pPr>
              <w:spacing w:after="0"/>
              <w:rPr>
                <w:sz w:val="1"/>
                <w:szCs w:val="1"/>
                <w:color w:val="auto"/>
              </w:rPr>
            </w:pPr>
          </w:p>
        </w:tc>
      </w:tr>
      <w:tr>
        <w:trPr>
          <w:trHeight w:val="211"/>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11,756​​​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1,611​​​</w:t>
            </w:r>
          </w:p>
        </w:tc>
        <w:tc>
          <w:tcPr>
            <w:tcW w:w="0" w:type="dxa"/>
            <w:vAlign w:val="bottom"/>
          </w:tcPr>
          <w:p>
            <w:pPr>
              <w:spacing w:after="0"/>
              <w:rPr>
                <w:sz w:val="1"/>
                <w:szCs w:val="1"/>
                <w:color w:val="auto"/>
              </w:rPr>
            </w:pPr>
          </w:p>
        </w:tc>
      </w:tr>
      <w:tr>
        <w:trPr>
          <w:trHeight w:val="234"/>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restricted cash</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(9,159​​​)</w:t>
            </w:r>
            <w:r>
              <w:rPr>
                <w:rFonts w:ascii="Times New Roman" w:cs="Times New Roman" w:eastAsia="Times New Roman" w:hAnsi="Times New Roman"/>
                <w:sz w:val="18"/>
                <w:szCs w:val="18"/>
                <w:b w:val="1"/>
                <w:bCs w:val="1"/>
                <w:color w:val="auto"/>
              </w:rPr>
              <w:t>​</w:t>
            </w: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-419735</wp:posOffset>
            </wp:positionV>
            <wp:extent cx="521208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9" w:lineRule="exact"/>
        <w:rPr>
          <w:sz w:val="20"/>
          <w:szCs w:val="20"/>
          <w:color w:val="auto"/>
        </w:rPr>
      </w:pPr>
    </w:p>
    <w:p>
      <w:pPr>
        <w:ind w:left="1260"/>
        <w:spacing w:after="0" w:line="263" w:lineRule="auto"/>
        <w:rPr>
          <w:sz w:val="20"/>
          <w:szCs w:val="20"/>
          <w:color w:val="auto"/>
        </w:rPr>
      </w:pPr>
      <w:r>
        <w:rPr>
          <w:rFonts w:ascii="Times New Roman" w:cs="Times New Roman" w:eastAsia="Times New Roman" w:hAnsi="Times New Roman"/>
          <w:sz w:val="18"/>
          <w:szCs w:val="18"/>
          <w:color w:val="auto"/>
          <w:shd w:val="clear" w:color="auto" w:fill="CCEEFF"/>
        </w:rPr>
        <w:t xml:space="preserve">Net increase in cash and cash equivalents and restricted cash </w:t>
      </w:r>
      <w:r>
        <w:rPr>
          <w:rFonts w:ascii="Times New Roman" w:cs="Times New Roman" w:eastAsia="Times New Roman" w:hAnsi="Times New Roman"/>
          <w:sz w:val="18"/>
          <w:szCs w:val="18"/>
          <w:color w:val="auto"/>
        </w:rPr>
        <w:t>Cash and cash equivalents at the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3086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ind w:left="14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Cash and cash equivalents and restricted cash at the end of the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shd w:val="clear" w:color="auto" w:fill="CCEEFF"/>
        </w:rPr>
        <w:t>​​</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 xml:space="preserve"> 32,019​​​</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2,121,934​​​</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2,446,001​​​</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335,101​​</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​168,727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200,746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​2,322,680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​318,206</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​200,746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​2,322,680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​4,768,681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​653,307</w:t>
      </w:r>
      <w:r>
        <w:rPr>
          <w:rFonts w:ascii="Times New Roman" w:cs="Times New Roman" w:eastAsia="Times New Roman" w:hAnsi="Times New Roman"/>
          <w:sz w:val="18"/>
          <w:szCs w:val="18"/>
          <w:b w:val="1"/>
          <w:bCs w:val="1"/>
          <w:color w:val="auto"/>
        </w:rPr>
        <w:t>​​​</w:t>
      </w:r>
    </w:p>
    <w:p>
      <w:pPr>
        <w:spacing w:after="0" w:line="270" w:lineRule="exact"/>
        <w:rPr>
          <w:sz w:val="20"/>
          <w:szCs w:val="20"/>
          <w:color w:val="auto"/>
        </w:rPr>
      </w:pPr>
    </w:p>
    <w:p>
      <w:pPr>
        <w:sectPr>
          <w:pgSz w:w="11900" w:h="16838" w:orient="portrait"/>
          <w:cols w:equalWidth="0" w:num="2">
            <w:col w:w="5840" w:space="300"/>
            <w:col w:w="3739"/>
          </w:cols>
          <w:pgMar w:left="580" w:top="97" w:right="1440" w:bottom="1440" w:gutter="0" w:footer="0" w:header="0"/>
          <w:type w:val="continuous"/>
        </w:sectPr>
      </w:pP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Net cash provided by operating activities was RMB2,837.7 million (US$388.8 million) for the year ended December 31, 2024, which consisted primarily of net income of RMB2,514.6 million (US$344.5 million), adjusted for certain non-cash items and changes in working capital. Adjustments for such non-cash items primarily include depreciation of RMB60.9 million (US$8.3 million) and deferred income tax of RMB126.9 million (US$17.4 million). Changes in working capital primarily include (a) an increase in accrued expenses and other liabilities of RMB506.7 million (US$69.4 million) mainly attributed to the expansion of our employee headcount and increased accrued services fees, (b) an increase in operating lease liabilities of RMB439.2 million (US$60.2 million) and an corresponding increase in right-of-use assets, net, of RMB428.0 million (US$58.6 million) primarily due to the addition of our office space and company-owned teahouses, (c) an increase in prepayments and other current assets of RMB214.0 million (US$29.3 million) generally in line our business expansion, and (d) an increase in contract liabilities of RMB175.5 million (US$24.0 million) generally in line with our business expansion.</w:t>
      </w:r>
    </w:p>
    <w:p>
      <w:pPr>
        <w:spacing w:after="0" w:line="104"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Net cash provided by operating activities was RMB1,933.6 million for the year ended December 31, 2023, which consisted primarily of net income of RMB802.6 million, adjusted for certain non-cash items and</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changes in working capital. Adjustments for such non-cash items primarily include fair value change of a forward contract related to Series B+ preferred shares of RMB105.5 million, and a deferred taxes provision of RMB95.8 million mainly attributed to the increase in contract liabilities and accrued expenses, which was generally in line with our business expansion. Changes in working capital primarily include (a) an increase in accounts payable of RMB384.0 million mainly due to our increased procurement volume to support our rapid business expansion, (b) an increase in accrued expenses and other liabilities of RMB337.5 million mainly attributed to the expansion of our employee headcount, (c) an increase in contract liabilities of RMB295.4 million generally in line with our business expansion, and (d) an increase in taxes payable of RMB231.4 million mainly attributed to our increased income and sales.</w:t>
      </w:r>
    </w:p>
    <w:p>
      <w:pPr>
        <w:spacing w:after="0" w:line="11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Net cash provided by operating activities was RMB43.0 million for the year ended December 31, 2022, which consisted primarily of net loss of RMB90.7 million, adjusted for certain non-cash items and changes in working capital. Adjustments for such non-cash items primarily include deferred taxes provision of RMB21.7 million mainly attributed to the increase in accumulated losses. Changes in working capital primarily include (a) an increase in accrued expenses and other liabilities of RMB82.1 million mainly attributed to the expansion of our employee headcount, (b) an increase in contract liabilities of RMB40.3 million generally in line with our business expansion, and (c) an increase in accounts payable of RMB31.9 million mainly due to our increased procurement volume to support our rapid business expansion.</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RMB229.5 million (US$31.4 million) for the year ended December 31, 2024, which was primarily attributed to the purchase of property and equipment of RMB225.5 million (US$30.9 million).</w:t>
      </w:r>
    </w:p>
    <w:p>
      <w:pPr>
        <w:spacing w:after="0" w:line="10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RMB146.7 million for the year ended December 31, 2023, which was primarily attributed to the placement of time deposits of RMB100.0 million due to our improved cash position and the purchase of property and equipment of RMB31.9 million.</w:t>
      </w:r>
    </w:p>
    <w:p>
      <w:pPr>
        <w:spacing w:after="0" w:line="8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RMB11.0 million for the year ended December 31, 2022, which was primarily attributed to the purchase of property and equipment of RMB10.7 million to support our rapid business expansion.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Net cash used in financing activities was RMB173.9 million (US $23.8 million) for the year ended December 31, 2024, which was primarily attributed to the repurchase of ordinary shares of RMB210.1 million (US$28.8 million) and partially offset by capital injection from non-controlling interests and redeemable non-controlling interests of RMB49.7 million (US$6.8 million).</w:t>
      </w:r>
    </w:p>
    <w:p>
      <w:pPr>
        <w:spacing w:after="0" w:line="11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RMB344.2 million for the year ended December 31, 2023, which was primarily attributed to the net proceeds from issuance of our Series B+ preferred shares of RMB331.4 million.</w:t>
      </w:r>
    </w:p>
    <w:p>
      <w:pPr>
        <w:spacing w:after="0" w:line="10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RMB0.03 million for the year ended December 31, 2022, which was attributed to payments to non-controlling shareholders.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capital expenditures were RMB10.7 million for the year ended December 31, 2022, RMB31.9 million for the year ended December 31, 2023 and RMB241.3 million (US$33.1 million) for the year ended December 31, 2024, respectively. Historically, our capital expenditures were for property and equipment and intangible assets.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material cash requirements as of December 31, 2024 include primarily our contractual obligations. We intend to fund our material cash requirements with our cash balance and proceeds from this offering. We will continue to make cash commitments to meet the expected growth of our business.</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contractual obligations as of December 31, 2024 included property management commitments of RMB63.7 million (US$8.7 million).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4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Prior to this offering, we have been a private company with limited accounting and financial reporting personnel and other resources to address our internal controls and procedures. In connection with the audit of our consolidated financial statements as of and for the year ended December 31, 2024 included in this prospectus, we and our independent registered public accounting firm identified one material weakness in our internal control over financial reporting. As defined in the standards established by the Public Company Accounting Oversight Board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32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material weakness identified is related to us not having sufficient financial reporting and accounting personnel with appropriate knowledge of U.S. GAAP to (i) properly address complex accounting transactions, and (ii) prepare and review consolidated financial statements and related disclosures in accordance with U.S. GAAP. Neither we nor our independent registered public accounting firm undertook a comprehensive assessment of our internal control over financial reporting for purposes of identifying and reporting material weaknesses and other deficiencies in our internal control over financial reporting. Had we performed a comprehensive assessment of our internal control over financial reporting or had our independent registered public accounting firm performed an audit of our internal control over financial reporting, additional deficiencies may have been identified.</w:t>
      </w:r>
    </w:p>
    <w:p>
      <w:pPr>
        <w:spacing w:after="0" w:line="11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To remedy the material weaknesses identified, we have started to implement a number of measures to address the material weaknesses that have been identified. These measures include: (i) hiring additional accounting and financial reporting personnel with U.S. GAAP accounting and SEC reporting experience,</w:t>
      </w:r>
    </w:p>
    <w:p>
      <w:pPr>
        <w:spacing w:after="0" w:line="1" w:lineRule="exact"/>
        <w:rPr>
          <w:sz w:val="20"/>
          <w:szCs w:val="20"/>
          <w:color w:val="auto"/>
        </w:rPr>
      </w:pPr>
    </w:p>
    <w:p>
      <w:pPr>
        <w:jc w:val="both"/>
        <w:ind w:left="1260" w:right="419"/>
        <w:spacing w:after="0" w:line="242" w:lineRule="auto"/>
        <w:tabs>
          <w:tab w:leader="none" w:pos="155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capabilities of existing accounting and financial reporting personnel through continuous training and education in the accounting and reporting requirements under U.S. GAAP and SEC rules and regulations, and (iii) developing, communicating and implementing a comprehensive set of period-end financial reporting policies and procedures, especially for non-recurring and complex transactions to ensure that the consolidated financial statements and related disclosures are in compliance with U.S. GAAP and SEC reporting requirements.</w:t>
      </w:r>
    </w:p>
    <w:p>
      <w:pPr>
        <w:spacing w:after="0" w:line="11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 See “Risk Factors — Risks Relating to Our Business and Industry — We have identified material weaknesses in our internal control over financial reporting. If we fail to implement and maintain an effective system of internal controls to remediate our material weakness over financial reporting, we may be unable to accurately report our results of operations, meet our reporting obligations or prevent fraud, and investor confidence and the market price of the ADSs may be materially and adversely affected.”</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are a holding company with no business operations of our own. We conduct all of our operations through our subsidiaries located in China and elsewhere. As a result, our ability to pay dividends depends upon dividends paid by our subsidiaries. If our subsidiaries incur debt on their own behalf in the future, the instruments governing their debt may restrict their ability to pay dividends to us. Our subsidiaries in China are permitted to pay dividends to us only out of their retained earnings, if any, as determined in accordance with the Accounting Standards for Business Enterprise as promulgated by the Ministry of Finance of the PRC, or the PRC GAAP. Under the PRC law, each of our subsidiaries in China is required to set aside at least 10% of its after-tax profits each year, if any, to fund certain statutory reserve funds until such reserve funds reach 50% of their registered capital. The statutory reserve funds are not distributable as cash dividends. Remittance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dividends by a wholly foreign-owned company out of China is subject to examination by the banks designated by SAFE. Our subsidiaries in China have not paid dividends and will not be able to pay dividends until they generate accumulated profits and meet the requirements for statutory reserve funds. See “Regulation — Regulations Relating to Dividend Distributions” for a detailed discussion of the PRC legal restrictions on dividends and our ability to transfer cash within our group.</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An accounting estimate is considered critical if it requires to be made based on assumptions about matters that are highly uncertain at the time such estimate is made, and if different accounting estimates that reasonably could have been used, or changes in the accounting estimate that are reasonably likely to occur periodically, could have materially impact to the consolidated financial statements.</w:t>
      </w:r>
    </w:p>
    <w:p>
      <w:pPr>
        <w:spacing w:after="0" w:line="11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which requires our management to make estimates and assumptions. We continuously evaluate these judgments, estimates and assumptions based on our own historical experience, knowledge and assessment of current business and other conditions, our expectations regarding the future based on available information and various assumptions that we believe to be reasonable, which together form our basis for making judgments about matters that are not readily apparent from other sources. Changes in facts and circumstances may result in revised estimates. Actual results could differ from those estimates, and as such, differences may be material to the consolidated financial statements.</w:t>
      </w:r>
    </w:p>
    <w:p>
      <w:pPr>
        <w:spacing w:after="0" w:line="32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consider an accounting estimate to be critical if: (1) the accounting estimate requires us to make assumptions about matters that were highly uncertain at the time the accounting estimate was made, and</w:t>
      </w:r>
    </w:p>
    <w:p>
      <w:pPr>
        <w:jc w:val="both"/>
        <w:ind w:left="1260" w:right="419"/>
        <w:spacing w:after="0"/>
        <w:tabs>
          <w:tab w:leader="none" w:pos="155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 that are reasonably likely to occur from period to period or use of different estimates that we reasonably could have used in the current period, would have a material impact on our results of operations or financials condition. There are other items within our financial statements that require estimation but are not deemed critical, as defined above. Changes in estimates used in these and other items could have a material impact on our financial statements. For a detailed discussion of our significant accounting policies and related judgments, see note 2 to our consolidated financial statements included elsewhere in this prospectus.</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4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grant share options to eligible employees and consultants that accounts for share-based compensation in accordance with ASC 718, Compensation — Stock Compensation. Cash settled share- based awards that are only subject to service conditions are accounted for as a liability and measured at fair value at each reporting period until the awards are settled. Equity settled share-based awards that are subject to both service conditions and the occurrence of an IPO as performance condition are measured at the grant date fair value and recognized when the vest becomes probable.</w:t>
      </w:r>
    </w:p>
    <w:p>
      <w:pPr>
        <w:spacing w:after="0" w:line="11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fair value of share options is estimated on the grant date using the binomial option-pricing model. The assumptions used in share-based compensation expenses recognition represent management’s best estimates, but these estimates involve inherent uncertainties and application of management judgment. If factors change or different assumptions are used, the share-based compensation expenses could be materially different for any period.</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estimated fair value of each option granted is estimated with the following assumptions:</w:t>
      </w:r>
    </w:p>
    <w:p>
      <w:pPr>
        <w:spacing w:after="0" w:line="20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the year ended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the year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the year ended</w:t>
            </w:r>
          </w:p>
        </w:tc>
        <w:tc>
          <w:tcPr>
            <w:tcW w:w="6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4"/>
                <w:szCs w:val="14"/>
                <w:color w:val="auto"/>
              </w:rPr>
            </w:pPr>
          </w:p>
        </w:tc>
      </w:tr>
      <w:tr>
        <w:trPr>
          <w:trHeight w:val="214"/>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2.80%</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2.21% – 4.57%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35.51%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1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36.82%</w:t>
            </w: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​38.00% – 39.91%​</w:t>
            </w:r>
          </w:p>
        </w:tc>
      </w:tr>
      <w:tr>
        <w:trPr>
          <w:trHeight w:val="25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0.00%</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Expected post-vesting forfeiture rate</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1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0.97%</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the underlying shares on the date of</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 grants</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9.78</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57.05 – 102.21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5026025</wp:posOffset>
            </wp:positionH>
            <wp:positionV relativeFrom="paragraph">
              <wp:posOffset>-959485</wp:posOffset>
            </wp:positionV>
            <wp:extent cx="1371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-959485</wp:posOffset>
            </wp:positionV>
            <wp:extent cx="3497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risk-free rate for periods within the contractual lives of the options is based on the market yield of U.S. Treasury Bonds and China Government Bond in effect at the time of grant. For expected volatilities, we have made reference to historical volatilities of several comparable companies. The dividend yield is estimated based on our expected dividend policy over the expected term of the options. The estimated fair value of the ordinary shares, at the option grant dates, was determined with the assistance from an independent third-party appraiser.</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our ordinary shares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fair value of our ordinary shares on various dates estimated for determining the fair value of our ordinary shares of share-based compensation awards at each grant date or modification date.</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per</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Discount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 Options per Shares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Pr>
          <w:p>
            <w:pPr>
              <w:spacing w:after="0"/>
              <w:rPr>
                <w:sz w:val="18"/>
                <w:szCs w:val="18"/>
                <w:color w:val="auto"/>
              </w:rPr>
            </w:pPr>
          </w:p>
        </w:tc>
        <w:tc>
          <w:tcPr>
            <w:tcW w:w="6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(RMB)</w:t>
            </w:r>
          </w:p>
        </w:tc>
        <w:tc>
          <w:tcPr>
            <w:tcW w:w="7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Rate</w:t>
            </w:r>
          </w:p>
        </w:tc>
        <w:tc>
          <w:tcPr>
            <w:tcW w:w="20" w:type="dxa"/>
            <w:vAlign w:val="bottom"/>
          </w:tcPr>
          <w:p>
            <w:pPr>
              <w:spacing w:after="0"/>
              <w:rPr>
                <w:sz w:val="18"/>
                <w:szCs w:val="18"/>
                <w:color w:val="auto"/>
              </w:rPr>
            </w:pPr>
          </w:p>
        </w:tc>
        <w:tc>
          <w:tcPr>
            <w:tcW w:w="68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DLOM</w:t>
            </w:r>
          </w:p>
        </w:tc>
        <w:tc>
          <w:tcPr>
            <w:tcW w:w="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Pr>
          <w:p>
            <w:pPr>
              <w:spacing w:after="0"/>
              <w:rPr>
                <w:sz w:val="18"/>
                <w:szCs w:val="18"/>
                <w:color w:val="auto"/>
              </w:rPr>
            </w:pPr>
          </w:p>
        </w:tc>
        <w:tc>
          <w:tcPr>
            <w:tcW w:w="980" w:type="dxa"/>
            <w:vAlign w:val="bottom"/>
          </w:tcPr>
          <w:p>
            <w:pPr>
              <w:jc w:val="center"/>
              <w:ind w:right="456"/>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January 22, 2022</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jc w:val="right"/>
              <w:ind w:right="117"/>
              <w:spacing w:after="0" w:line="196" w:lineRule="exact"/>
              <w:rPr>
                <w:sz w:val="20"/>
                <w:szCs w:val="20"/>
                <w:color w:val="auto"/>
              </w:rPr>
            </w:pPr>
            <w:r>
              <w:rPr>
                <w:rFonts w:ascii="Times New Roman" w:cs="Times New Roman" w:eastAsia="Times New Roman" w:hAnsi="Times New Roman"/>
                <w:sz w:val="18"/>
                <w:szCs w:val="18"/>
                <w:color w:val="auto"/>
              </w:rPr>
              <w:t>7.07</w:t>
            </w:r>
          </w:p>
        </w:tc>
        <w:tc>
          <w:tcPr>
            <w:tcW w:w="2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35"/>
              <w:spacing w:after="0" w:line="196" w:lineRule="exact"/>
              <w:rPr>
                <w:sz w:val="20"/>
                <w:szCs w:val="20"/>
                <w:color w:val="auto"/>
              </w:rPr>
            </w:pPr>
            <w:r>
              <w:rPr>
                <w:rFonts w:ascii="Times New Roman" w:cs="Times New Roman" w:eastAsia="Times New Roman" w:hAnsi="Times New Roman"/>
                <w:sz w:val="18"/>
                <w:szCs w:val="18"/>
                <w:color w:val="auto"/>
              </w:rPr>
              <w:t>22.2%</w:t>
            </w:r>
          </w:p>
        </w:tc>
        <w:tc>
          <w:tcPr>
            <w:tcW w:w="700" w:type="dxa"/>
            <w:vAlign w:val="bottom"/>
            <w:gridSpan w:val="3"/>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27.0%</w:t>
            </w:r>
          </w:p>
        </w:tc>
        <w:tc>
          <w:tcPr>
            <w:tcW w:w="56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right w:val="single" w:sz="8" w:color="CCEEFF"/>
            </w:tcBorders>
            <w:shd w:val="clear" w:color="auto" w:fill="CCEEFF"/>
          </w:tcPr>
          <w:p>
            <w:pPr>
              <w:jc w:val="right"/>
              <w:ind w:right="456"/>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84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660" w:type="dxa"/>
            <w:vAlign w:val="bottom"/>
            <w:tcBorders>
              <w:right w:val="single" w:sz="8" w:color="CCEEFF"/>
            </w:tcBorders>
            <w:shd w:val="clear" w:color="auto" w:fill="CCEEFF"/>
          </w:tcPr>
          <w:p>
            <w:pPr>
              <w:spacing w:after="0"/>
              <w:rPr>
                <w:sz w:val="4"/>
                <w:szCs w:val="4"/>
                <w:color w:val="auto"/>
              </w:rPr>
            </w:pPr>
          </w:p>
        </w:tc>
        <w:tc>
          <w:tcPr>
            <w:tcW w:w="7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24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60" w:type="dxa"/>
            <w:vAlign w:val="bottom"/>
            <w:shd w:val="clear" w:color="auto" w:fill="CCEEFF"/>
          </w:tcPr>
          <w:p>
            <w:pPr>
              <w:ind w:left="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4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60" w:type="dxa"/>
            <w:vAlign w:val="bottom"/>
            <w:vMerge w:val="continue"/>
            <w:shd w:val="clear" w:color="auto" w:fill="CCEEFF"/>
          </w:tcPr>
          <w:p>
            <w:pPr>
              <w:spacing w:after="0"/>
              <w:rPr>
                <w:sz w:val="4"/>
                <w:szCs w:val="4"/>
                <w:color w:val="auto"/>
              </w:rPr>
            </w:pPr>
          </w:p>
        </w:tc>
        <w:tc>
          <w:tcPr>
            <w:tcW w:w="980" w:type="dxa"/>
            <w:vAlign w:val="bottom"/>
            <w:tcBorders>
              <w:righ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February 15, 2023</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rPr>
              <w:t>9.78</w:t>
            </w:r>
          </w:p>
        </w:tc>
        <w:tc>
          <w:tcPr>
            <w:tcW w:w="1000" w:type="dxa"/>
            <w:vAlign w:val="bottom"/>
            <w:gridSpan w:val="4"/>
          </w:tcPr>
          <w:p>
            <w:pPr>
              <w:jc w:val="right"/>
              <w:ind w:right="135"/>
              <w:spacing w:after="0" w:line="202" w:lineRule="exact"/>
              <w:rPr>
                <w:sz w:val="20"/>
                <w:szCs w:val="20"/>
                <w:color w:val="auto"/>
              </w:rPr>
            </w:pPr>
            <w:r>
              <w:rPr>
                <w:rFonts w:ascii="Times New Roman" w:cs="Times New Roman" w:eastAsia="Times New Roman" w:hAnsi="Times New Roman"/>
                <w:sz w:val="18"/>
                <w:szCs w:val="18"/>
                <w:color w:val="auto"/>
              </w:rPr>
              <w:t>21.4%</w:t>
            </w:r>
          </w:p>
        </w:tc>
        <w:tc>
          <w:tcPr>
            <w:tcW w:w="700" w:type="dxa"/>
            <w:vAlign w:val="bottom"/>
            <w:gridSpan w:val="3"/>
          </w:tcPr>
          <w:p>
            <w:pPr>
              <w:ind w:left="80"/>
              <w:spacing w:after="0" w:line="202" w:lineRule="exact"/>
              <w:rPr>
                <w:sz w:val="20"/>
                <w:szCs w:val="20"/>
                <w:color w:val="auto"/>
              </w:rPr>
            </w:pPr>
            <w:r>
              <w:rPr>
                <w:rFonts w:ascii="Times New Roman" w:cs="Times New Roman" w:eastAsia="Times New Roman" w:hAnsi="Times New Roman"/>
                <w:sz w:val="18"/>
                <w:szCs w:val="18"/>
                <w:color w:val="auto"/>
              </w:rPr>
              <w:t>24.0%</w:t>
            </w:r>
          </w:p>
        </w:tc>
        <w:tc>
          <w:tcPr>
            <w:tcW w:w="5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456"/>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8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24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60" w:type="dxa"/>
            <w:vAlign w:val="bottom"/>
          </w:tcPr>
          <w:p>
            <w:pPr>
              <w:ind w:left="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4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6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June 30, 2024</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shd w:val="clear" w:color="auto" w:fill="CCEEFF"/>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rPr>
              <w:t>57.05</w:t>
            </w:r>
          </w:p>
        </w:tc>
        <w:tc>
          <w:tcPr>
            <w:tcW w:w="1000" w:type="dxa"/>
            <w:vAlign w:val="bottom"/>
            <w:gridSpan w:val="4"/>
            <w:shd w:val="clear" w:color="auto" w:fill="CCEEFF"/>
          </w:tcPr>
          <w:p>
            <w:pPr>
              <w:jc w:val="right"/>
              <w:ind w:right="135"/>
              <w:spacing w:after="0" w:line="202" w:lineRule="exact"/>
              <w:rPr>
                <w:sz w:val="20"/>
                <w:szCs w:val="20"/>
                <w:color w:val="auto"/>
              </w:rPr>
            </w:pPr>
            <w:r>
              <w:rPr>
                <w:rFonts w:ascii="Times New Roman" w:cs="Times New Roman" w:eastAsia="Times New Roman" w:hAnsi="Times New Roman"/>
                <w:sz w:val="18"/>
                <w:szCs w:val="18"/>
                <w:color w:val="auto"/>
              </w:rPr>
              <w:t>20.0%</w:t>
            </w:r>
          </w:p>
        </w:tc>
        <w:tc>
          <w:tcPr>
            <w:tcW w:w="700" w:type="dxa"/>
            <w:vAlign w:val="bottom"/>
            <w:gridSpan w:val="3"/>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1540" w:type="dxa"/>
            <w:vAlign w:val="bottom"/>
            <w:tcBorders>
              <w:right w:val="single" w:sz="8" w:color="CCEEFF"/>
            </w:tcBorders>
            <w:gridSpan w:val="2"/>
            <w:shd w:val="clear" w:color="auto" w:fill="CCEEFF"/>
          </w:tcPr>
          <w:p>
            <w:pPr>
              <w:ind w:left="520"/>
              <w:spacing w:after="0" w:line="202" w:lineRule="exact"/>
              <w:rPr>
                <w:sz w:val="20"/>
                <w:szCs w:val="20"/>
                <w:color w:val="auto"/>
              </w:rPr>
            </w:pPr>
            <w:r>
              <w:rPr>
                <w:rFonts w:ascii="Times New Roman" w:cs="Times New Roman" w:eastAsia="Times New Roman" w:hAnsi="Times New Roman"/>
                <w:sz w:val="18"/>
                <w:szCs w:val="18"/>
                <w:color w:val="auto"/>
              </w:rPr>
              <w:t>3.7614</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84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240" w:type="dxa"/>
            <w:vAlign w:val="bottom"/>
            <w:vMerge w:val="continue"/>
            <w:shd w:val="clear" w:color="auto" w:fill="CCEEFF"/>
          </w:tcPr>
          <w:p>
            <w:pPr>
              <w:spacing w:after="0"/>
              <w:rPr>
                <w:sz w:val="4"/>
                <w:szCs w:val="4"/>
                <w:color w:val="auto"/>
              </w:rPr>
            </w:pPr>
          </w:p>
        </w:tc>
        <w:tc>
          <w:tcPr>
            <w:tcW w:w="660" w:type="dxa"/>
            <w:vAlign w:val="bottom"/>
            <w:tcBorders>
              <w:right w:val="single" w:sz="8" w:color="CCEEFF"/>
            </w:tcBorders>
            <w:shd w:val="clear" w:color="auto" w:fill="CCEEFF"/>
          </w:tcPr>
          <w:p>
            <w:pPr>
              <w:spacing w:after="0"/>
              <w:rPr>
                <w:sz w:val="4"/>
                <w:szCs w:val="4"/>
                <w:color w:val="auto"/>
              </w:rPr>
            </w:pPr>
          </w:p>
        </w:tc>
        <w:tc>
          <w:tcPr>
            <w:tcW w:w="7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24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60" w:type="dxa"/>
            <w:vAlign w:val="bottom"/>
            <w:shd w:val="clear" w:color="auto" w:fill="CCEEFF"/>
          </w:tcPr>
          <w:p>
            <w:pPr>
              <w:ind w:left="8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24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60" w:type="dxa"/>
            <w:vAlign w:val="bottom"/>
            <w:shd w:val="clear" w:color="auto" w:fill="CCEEFF"/>
          </w:tcPr>
          <w:p>
            <w:pPr>
              <w:ind w:left="50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980" w:type="dxa"/>
            <w:vAlign w:val="bottom"/>
            <w:tcBorders>
              <w:righ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November 27, 2024</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17"/>
              <w:spacing w:after="0" w:line="202" w:lineRule="exact"/>
              <w:rPr>
                <w:sz w:val="20"/>
                <w:szCs w:val="20"/>
                <w:color w:val="auto"/>
              </w:rPr>
            </w:pPr>
            <w:r>
              <w:rPr>
                <w:rFonts w:ascii="Times New Roman" w:cs="Times New Roman" w:eastAsia="Times New Roman" w:hAnsi="Times New Roman"/>
                <w:sz w:val="18"/>
                <w:szCs w:val="18"/>
                <w:color w:val="auto"/>
              </w:rPr>
              <w:t>102.21</w:t>
            </w:r>
          </w:p>
        </w:tc>
        <w:tc>
          <w:tcPr>
            <w:tcW w:w="1000" w:type="dxa"/>
            <w:vAlign w:val="bottom"/>
            <w:gridSpan w:val="4"/>
          </w:tcPr>
          <w:p>
            <w:pPr>
              <w:jc w:val="right"/>
              <w:ind w:right="135"/>
              <w:spacing w:after="0" w:line="202" w:lineRule="exact"/>
              <w:rPr>
                <w:sz w:val="20"/>
                <w:szCs w:val="20"/>
                <w:color w:val="auto"/>
              </w:rPr>
            </w:pPr>
            <w:r>
              <w:rPr>
                <w:rFonts w:ascii="Times New Roman" w:cs="Times New Roman" w:eastAsia="Times New Roman" w:hAnsi="Times New Roman"/>
                <w:sz w:val="18"/>
                <w:szCs w:val="18"/>
                <w:color w:val="auto"/>
              </w:rPr>
              <w:t>19.0%</w:t>
            </w:r>
          </w:p>
        </w:tc>
        <w:tc>
          <w:tcPr>
            <w:tcW w:w="700" w:type="dxa"/>
            <w:vAlign w:val="bottom"/>
            <w:gridSpan w:val="3"/>
          </w:tcPr>
          <w:p>
            <w:pPr>
              <w:ind w:left="100"/>
              <w:spacing w:after="0" w:line="202" w:lineRule="exact"/>
              <w:rPr>
                <w:sz w:val="20"/>
                <w:szCs w:val="20"/>
                <w:color w:val="auto"/>
              </w:rPr>
            </w:pPr>
            <w:r>
              <w:rPr>
                <w:rFonts w:ascii="Times New Roman" w:cs="Times New Roman" w:eastAsia="Times New Roman" w:hAnsi="Times New Roman"/>
                <w:sz w:val="18"/>
                <w:szCs w:val="18"/>
                <w:color w:val="auto"/>
              </w:rPr>
              <w:t>11.0%</w:t>
            </w:r>
          </w:p>
        </w:tc>
        <w:tc>
          <w:tcPr>
            <w:tcW w:w="1540" w:type="dxa"/>
            <w:vAlign w:val="bottom"/>
            <w:gridSpan w:val="2"/>
          </w:tcPr>
          <w:p>
            <w:pPr>
              <w:ind w:left="520"/>
              <w:spacing w:after="0" w:line="202" w:lineRule="exact"/>
              <w:rPr>
                <w:sz w:val="20"/>
                <w:szCs w:val="20"/>
                <w:color w:val="auto"/>
              </w:rPr>
            </w:pPr>
            <w:r>
              <w:rPr>
                <w:rFonts w:ascii="Times New Roman" w:cs="Times New Roman" w:eastAsia="Times New Roman" w:hAnsi="Times New Roman"/>
                <w:sz w:val="18"/>
                <w:szCs w:val="18"/>
                <w:color w:val="auto"/>
              </w:rPr>
              <w:t>3.7614</w:t>
            </w: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5"/>
        </w:trPr>
        <w:tc>
          <w:tcPr>
            <w:tcW w:w="384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4888865</wp:posOffset>
            </wp:positionH>
            <wp:positionV relativeFrom="paragraph">
              <wp:posOffset>-774700</wp:posOffset>
            </wp:positionV>
            <wp:extent cx="137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-774700</wp:posOffset>
            </wp:positionV>
            <wp:extent cx="137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-774700</wp:posOffset>
            </wp:positionV>
            <wp:extent cx="137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-774700</wp:posOffset>
            </wp:positionV>
            <wp:extent cx="137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39370</wp:posOffset>
            </wp:positionV>
            <wp:extent cx="123444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5" w:lineRule="exact"/>
        <w:rPr>
          <w:sz w:val="20"/>
          <w:szCs w:val="20"/>
          <w:color w:val="auto"/>
        </w:rPr>
      </w:pPr>
    </w:p>
    <w:p>
      <w:pPr>
        <w:ind w:left="1620" w:hanging="360"/>
        <w:spacing w:after="0"/>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0.01</w:t>
      </w:r>
    </w:p>
    <w:p>
      <w:pPr>
        <w:spacing w:after="0" w:line="144"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are a private company with no quoted market prices for our ordinary shares. Hence, the fair value of ordinary shares were determined with the assistance from an independent valuation firm. As at various valuation dates from 2022 to 2024, we firstly estimated 100% equity value and then applied it into our allocation model to derive the fair value of each class of shares.</w:t>
      </w:r>
    </w:p>
    <w:p>
      <w:pPr>
        <w:spacing w:after="0" w:line="11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determining the fair values of our ordinary shares, the third-party valuation firm estimates the 100% equity value using the income approach (Discounted cash flow, or DCF method). The income approach is based on the present value of projected cash flows applied a reasonable discount rate (WACC). The determination of the fair value of our ordinary shares requires complex and subjective judgments to be made regarding our projected financial and operating results, our unique business risks, the liquidity of our shares and our operating history and prospects at the time of valuation.</w:t>
      </w:r>
    </w:p>
    <w:p>
      <w:pPr>
        <w:spacing w:after="0" w:line="12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income approach involves applying appropriate weighted average costs of capital (“WACCs”) to estimated cash flows that are based on projected earnings. Our revenue and earnings before interest and tax (“EBIT”) growth, as well as major milestones that we have achieved, contributed to the increase in the fair value of our ordinary shares from 2022 to 2024. The assumptions used in deriving the fair values are consistent with our business plan. These assumptions include: no material changes in the existing political, legal and economic conditions in our operating region; our ability to retain competent management, key personnel and staff to support our ongoing operations; and no material deviation in market conditions from economic forecasts. These assumptions are inherently uncertain. The risk associated with achieving our forecasts were assessed in selecting the appropriate WACCs, which ranged from 19.0% to 22.2%.</w:t>
      </w:r>
    </w:p>
    <w:p>
      <w:pPr>
        <w:spacing w:after="0" w:line="107"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The equity value is then allocated to each class of shares using the Option Pricing Method (“OPM”) and the hybrid method. Under the OPM, the value of an equity interest is modelled as a call option with a distinct claim on the equity value. The call right is valued using a Black-Scholes option pricing model. The hybrid method estimated the ordinary shares value per share under three scenarios: IPO, redemption and liquidation.</w:t>
      </w:r>
    </w:p>
    <w:p>
      <w:pPr>
        <w:spacing w:after="0" w:line="3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major assumptions used in calculating the fair value of ordinary shares include:</w:t>
      </w:r>
    </w:p>
    <w:p>
      <w:pPr>
        <w:spacing w:after="0" w:line="117" w:lineRule="exact"/>
        <w:rPr>
          <w:sz w:val="20"/>
          <w:szCs w:val="20"/>
          <w:color w:val="auto"/>
        </w:rPr>
      </w:pPr>
    </w:p>
    <w:p>
      <w:pPr>
        <w:ind w:left="1800" w:right="41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WACCs: The WACCs were determined based on a consideration of the factors including risk-free rate, comparative industry risk, equity risk premium, company size and non-systematic risk factors.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for lack of marketability or DLOM: DLOM was quantified by put options model. Under this option-pricing method, which assumed that the put option is struck at the average price of the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82" w:lineRule="auto"/>
        <w:rPr>
          <w:sz w:val="20"/>
          <w:szCs w:val="20"/>
          <w:color w:val="auto"/>
        </w:rPr>
      </w:pPr>
      <w:r>
        <w:rPr>
          <w:rFonts w:ascii="Times New Roman" w:cs="Times New Roman" w:eastAsia="Times New Roman" w:hAnsi="Times New Roman"/>
          <w:sz w:val="18"/>
          <w:szCs w:val="18"/>
          <w:color w:val="auto"/>
        </w:rPr>
        <w:t>stock before the privately held shares can be sold, the cost of the put option was considered as a basis to determine the DLOM.</w:t>
      </w:r>
    </w:p>
    <w:p>
      <w:pPr>
        <w:spacing w:after="0" w:line="81"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fair value increased from RMB7.07 to RMB57.05. This increase was primarily attributed to the following factors:</w:t>
      </w:r>
    </w:p>
    <w:p>
      <w:pPr>
        <w:spacing w:after="0" w:line="54" w:lineRule="exact"/>
        <w:rPr>
          <w:sz w:val="20"/>
          <w:szCs w:val="20"/>
          <w:color w:val="auto"/>
        </w:rPr>
      </w:pPr>
    </w:p>
    <w:p>
      <w:pPr>
        <w:jc w:val="both"/>
        <w:ind w:left="1800" w:right="419" w:hanging="180"/>
        <w:spacing w:after="0" w:line="254"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rapid business expansion and strong financial performance. From the first quarter of 2022 to the second quarter of 2024, the number of our teahouses grew from 493 in the first quarter of 2022 to 4,996 in the second quarter of 2024, while our total GMV generated in China and overseas surged from RMB194 million to RMB7,017 million. Additionally, our total net revenues rose sharply from RMB54.8 million in the first quarter of 2022 to RMB3,023.3 million in the second quarter of 2024, alongside a successful transition from losses to profitability. This growth was further supported by the expansion of China’s freshly-made tea drink market, which increased from RMB217.5 billion in 2022 to RMB334.6 billion in 2024 in terms of total GMV, with the market share of premium brands rising from 15.7% to 25.9%. These factors collectively contributed to the substantial increase in the fair value of our shares over this period.</w:t>
      </w:r>
    </w:p>
    <w:p>
      <w:pPr>
        <w:spacing w:after="0" w:line="282"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heightened probability of an initial public offering as a result of our initial public offering plan;</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of DLOM and discount rate considering the initial public offering expected date and business growth.</w:t>
      </w:r>
    </w:p>
    <w:p>
      <w:pPr>
        <w:spacing w:after="0" w:line="94"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fair value increased from RMB57.05 to RMB102.21. This increase was primarily attributed to the following factors:</w:t>
      </w:r>
    </w:p>
    <w:p>
      <w:pPr>
        <w:spacing w:after="0" w:line="54" w:lineRule="exact"/>
        <w:rPr>
          <w:sz w:val="20"/>
          <w:szCs w:val="20"/>
          <w:color w:val="auto"/>
        </w:rPr>
      </w:pPr>
    </w:p>
    <w:p>
      <w:pPr>
        <w:jc w:val="both"/>
        <w:ind w:left="1800" w:right="419" w:hanging="180"/>
        <w:spacing w:after="0" w:line="25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further growth of our business, which was primarily attributable to the expansion of teahouses. The number of our teahouses continue to grow significantly from 4,996 in the first half of 2024 to 6,440 in the second half of 2024, fueling further revenue and profitability gains. Our total GMV increased from RMB12,979 million to RMB16,478 million during this period, while total net revenues increased from RMB5,529.9 million in the first half of 2024 to RMB6,875.7 million in the second half of 2024. Our profitability also improved, with net income rising from RMB1,223.8 million in the first half of 2024 to RMB1,290.8 million in the second half 2024. Additionally, we made substantial progress in international expansion, with the number of overseas teahouses reaching 156 by the end of the fourth quarter of 2024. The broader China freshly-made tea drinks market also experienced accelerated growth, driven by rising demand for premium products among young, discerning consumers. The market is projected to reach RMB426.0 billion by 2028, reflecting a CAGR of 11.8% from 2024 to 2028. These factors — strong operational performance, improved profitability, successful international expansion, and favorable market trends —  collectively support the substantial increase in the fair value of our ordinary shares over this period.</w:t>
      </w:r>
    </w:p>
    <w:p>
      <w:pPr>
        <w:spacing w:after="0" w:line="8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of discount rate considering business growth;</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relatively stable DLOM as a result of updated initial public offering plan and decreased risk-free rate.</w:t>
      </w:r>
    </w:p>
    <w:p>
      <w:pPr>
        <w:spacing w:after="0" w:line="355"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preliminarily determined the preliminary price range for this offering to be US$26.0 to US$28.0 per Class A ordinary share, resulting in a mid-point price of US$27.0, or RMB197.08, per Class A ordinary share. As is typical in IPOs, the estimated initial public offering price range was not directly derived from a specific valuation model, but was determined by discussions between us and the underwriters with reference to the underlying valuation model and other market-driven factors. Accordingly, the estimated initial public offering price range was determined mainly based upon (i) our growth and earnings prospects,</w:t>
      </w:r>
    </w:p>
    <w:p>
      <w:pPr>
        <w:ind w:left="1580" w:hanging="320"/>
        <w:spacing w:after="0"/>
        <w:tabs>
          <w:tab w:leader="none" w:pos="15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recent IPOs and subsequent stock trading performance of our industry peers, and</w:t>
      </w:r>
    </w:p>
    <w:p>
      <w:pPr>
        <w:ind w:left="1640" w:hanging="380"/>
        <w:spacing w:after="0"/>
        <w:tabs>
          <w:tab w:leader="none" w:pos="1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inputs received from the underwriters and investors. The increase of 92.8% in the valuation</w:t>
      </w:r>
    </w:p>
    <w:p>
      <w:pPr>
        <w:spacing w:after="0" w:line="7"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color w:val="auto"/>
        </w:rPr>
        <w:t>applied on November 27, 2024 of RMB102.21 per ordinary share to the mid-point of the estimated public offering price is mainly attributable to the following factors:</w:t>
      </w:r>
    </w:p>
    <w:p>
      <w:pPr>
        <w:spacing w:after="0" w:line="72" w:lineRule="exact"/>
        <w:rPr>
          <w:sz w:val="20"/>
          <w:szCs w:val="20"/>
          <w:color w:val="auto"/>
        </w:rPr>
      </w:pPr>
    </w:p>
    <w:p>
      <w:pPr>
        <w:jc w:val="both"/>
        <w:ind w:left="1800" w:right="419" w:hanging="180"/>
        <w:spacing w:after="0" w:line="259"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mid-point of the estimated public offering price was determined based solely on an IPO scenario and does not incorporate probability weighting across multiple exit outcomes, in contrast to our ordinary share valuation in November 2024. Such earlier valuation reflected a range of potential outcomes — some of which assumed no IPO — and accordingly resulted in a substantially lower fair value.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2160" w:right="419" w:hanging="180"/>
        <w:spacing w:after="0" w:line="255" w:lineRule="auto"/>
        <w:tabs>
          <w:tab w:leader="none" w:pos="21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CSRC’s approval of the our filing for this offering in March 2025 (which was subject to significant uncertainty in November 2024), the filing of this prospectus, and the commencement of the roadshow, several valuation parameters were changed to reflect the increased certainty of an IPO. Specifically: (i) the probability of completing an IPO would increase from 70% to 100%, and (ii) the DLOM would decrease from 11% to 0%. If these updated assumptions had been applied in November 2024, the resulting fair value our ordinary shares would have been expected to increase by 12.8%.</w:t>
      </w:r>
    </w:p>
    <w:p>
      <w:pPr>
        <w:spacing w:after="0" w:line="80" w:lineRule="exact"/>
        <w:rPr>
          <w:rFonts w:ascii="Times New Roman" w:cs="Times New Roman" w:eastAsia="Times New Roman" w:hAnsi="Times New Roman"/>
          <w:sz w:val="18"/>
          <w:szCs w:val="18"/>
          <w:color w:val="auto"/>
        </w:rPr>
      </w:pPr>
    </w:p>
    <w:p>
      <w:pPr>
        <w:jc w:val="both"/>
        <w:ind w:left="1800" w:right="419" w:hanging="180"/>
        <w:spacing w:after="0" w:line="255"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the fair value of the our Class A ordinary shares is also supported by a range of positive developments in the our operations and business / earnings outlook, particularly in the first quarter of 2025, which formed the basis for the underwriters’ advice to determining the estimated initial public offering price range, among other market-based factors (as discussed below). These developments indicate stronger-than-expected growth momentum and earnings prospect, which justify an upward revision in the projected financial performance (as compared to the more conservative projection in November 2024):</w:t>
      </w:r>
    </w:p>
    <w:p>
      <w:pPr>
        <w:spacing w:after="0" w:line="80" w:lineRule="exact"/>
        <w:rPr>
          <w:rFonts w:ascii="Times New Roman" w:cs="Times New Roman" w:eastAsia="Times New Roman" w:hAnsi="Times New Roman"/>
          <w:sz w:val="18"/>
          <w:szCs w:val="18"/>
          <w:color w:val="auto"/>
        </w:rPr>
      </w:pPr>
    </w:p>
    <w:p>
      <w:pPr>
        <w:jc w:val="both"/>
        <w:ind w:left="2160" w:right="419" w:hanging="180"/>
        <w:spacing w:after="0" w:line="261" w:lineRule="auto"/>
        <w:tabs>
          <w:tab w:leader="none" w:pos="21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maintained steady organic growth, as evidenced by the continued expansion of its teahouse network, which was supported by solid customer demand, successful market penetration, and launch of new products. As of the end of the first quarter of 2025, the number of teahouses increased to 6,681, up from 6,440 as of December 31, 2024;</w:t>
      </w:r>
    </w:p>
    <w:p>
      <w:pPr>
        <w:spacing w:after="0" w:line="71" w:lineRule="exact"/>
        <w:rPr>
          <w:rFonts w:ascii="Times New Roman" w:cs="Times New Roman" w:eastAsia="Times New Roman" w:hAnsi="Times New Roman"/>
          <w:sz w:val="18"/>
          <w:szCs w:val="18"/>
          <w:color w:val="auto"/>
        </w:rPr>
      </w:pPr>
    </w:p>
    <w:p>
      <w:pPr>
        <w:jc w:val="both"/>
        <w:ind w:left="2160" w:right="419" w:hanging="180"/>
        <w:spacing w:after="0" w:line="258" w:lineRule="auto"/>
        <w:tabs>
          <w:tab w:leader="none" w:pos="21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2025, we made meaningful progress in overseas expansion, driving the number of teahouses overseas from 156 as of December 31, 2024 to 169 as of March 31, 2025, including successful entry into new emerging markets with attractive growth potential such as Indonesia, which further diversified its revenue base and reinforced its growth outlook outside of China;</w:t>
      </w:r>
    </w:p>
    <w:p>
      <w:pPr>
        <w:spacing w:after="0" w:line="75" w:lineRule="exact"/>
        <w:rPr>
          <w:rFonts w:ascii="Times New Roman" w:cs="Times New Roman" w:eastAsia="Times New Roman" w:hAnsi="Times New Roman"/>
          <w:sz w:val="18"/>
          <w:szCs w:val="18"/>
          <w:color w:val="auto"/>
        </w:rPr>
      </w:pPr>
    </w:p>
    <w:p>
      <w:pPr>
        <w:jc w:val="both"/>
        <w:ind w:left="2160" w:right="419" w:hanging="180"/>
        <w:spacing w:after="0" w:line="258" w:lineRule="auto"/>
        <w:tabs>
          <w:tab w:leader="none" w:pos="21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GMV generated in China and overseas reached over RMB8,231 million in the first quarter of 2025 compared to RMB8,177 million in the fourth quarter of 2024 and RMB5,962 million in the first quarter of 2024. This steady GMV growth supports a more positive growth and profitability prospect compared to that observed in the last quarter of 2024, during which total GMV decreased sequentially from the previous quarter ended September 30, 2024;</w:t>
      </w:r>
    </w:p>
    <w:p>
      <w:pPr>
        <w:spacing w:after="0" w:line="75" w:lineRule="exact"/>
        <w:rPr>
          <w:rFonts w:ascii="Times New Roman" w:cs="Times New Roman" w:eastAsia="Times New Roman" w:hAnsi="Times New Roman"/>
          <w:sz w:val="18"/>
          <w:szCs w:val="18"/>
          <w:color w:val="auto"/>
        </w:rPr>
      </w:pPr>
    </w:p>
    <w:p>
      <w:pPr>
        <w:jc w:val="both"/>
        <w:ind w:left="2160" w:right="419" w:hanging="180"/>
        <w:spacing w:after="0" w:line="266" w:lineRule="auto"/>
        <w:tabs>
          <w:tab w:leader="none" w:pos="21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launched nine new tea drinks after November 2024, all of which were well received by customers as evidenced by an aggregate of 63.4 million cups sold in the first quarter of 2025, which underscores our product development capability and consumer engagement;</w:t>
      </w:r>
    </w:p>
    <w:p>
      <w:pPr>
        <w:spacing w:after="0" w:line="67" w:lineRule="exact"/>
        <w:rPr>
          <w:rFonts w:ascii="Times New Roman" w:cs="Times New Roman" w:eastAsia="Times New Roman" w:hAnsi="Times New Roman"/>
          <w:sz w:val="18"/>
          <w:szCs w:val="18"/>
          <w:color w:val="auto"/>
        </w:rPr>
      </w:pPr>
    </w:p>
    <w:p>
      <w:pPr>
        <w:jc w:val="both"/>
        <w:ind w:left="2160" w:right="419" w:hanging="180"/>
        <w:spacing w:after="0" w:line="266" w:lineRule="auto"/>
        <w:tabs>
          <w:tab w:leader="none" w:pos="21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continued business expansion, we continued to benefit from economies of scale and improvements in operational efficiency, which further enhances the management’s profitability outlook; and</w:t>
      </w:r>
    </w:p>
    <w:p>
      <w:pPr>
        <w:spacing w:after="0" w:line="67" w:lineRule="exact"/>
        <w:rPr>
          <w:rFonts w:ascii="Times New Roman" w:cs="Times New Roman" w:eastAsia="Times New Roman" w:hAnsi="Times New Roman"/>
          <w:sz w:val="18"/>
          <w:szCs w:val="18"/>
          <w:color w:val="auto"/>
        </w:rPr>
      </w:pPr>
    </w:p>
    <w:p>
      <w:pPr>
        <w:jc w:val="both"/>
        <w:ind w:left="2160" w:right="419" w:hanging="180"/>
        <w:spacing w:after="0" w:line="266" w:lineRule="auto"/>
        <w:tabs>
          <w:tab w:leader="none" w:pos="21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this offering will provide us with additional capital to continue growing our business, enhance our ability to access capital markets to finance the continuous development of our business, and raise our profile among our customers and shareholder.</w:t>
      </w:r>
    </w:p>
    <w:p>
      <w:pPr>
        <w:spacing w:after="0" w:line="95" w:lineRule="exact"/>
        <w:rPr>
          <w:sz w:val="20"/>
          <w:szCs w:val="20"/>
          <w:color w:val="auto"/>
        </w:rPr>
      </w:pPr>
    </w:p>
    <w:p>
      <w:pPr>
        <w:jc w:val="both"/>
        <w:ind w:left="1820" w:right="419"/>
        <w:spacing w:after="0" w:line="254" w:lineRule="auto"/>
        <w:rPr>
          <w:sz w:val="20"/>
          <w:szCs w:val="20"/>
          <w:color w:val="auto"/>
        </w:rPr>
      </w:pPr>
      <w:r>
        <w:rPr>
          <w:rFonts w:ascii="Times New Roman" w:cs="Times New Roman" w:eastAsia="Times New Roman" w:hAnsi="Times New Roman"/>
          <w:sz w:val="18"/>
          <w:szCs w:val="18"/>
          <w:color w:val="auto"/>
        </w:rPr>
        <w:t>Notably, the November 2024 valuation was based on more conservative business growth assumptions (resulting from a slowdown in teahouse network expansion and decreased total GMV during the second half of 2024 as previously disclosed). However, based on the teahouse network expansion and GMV growth observed in the first quarter of 2025, the management witnessed a stronger-than-expected recovery and growth trajectory, which led it to believe that the business growth and earnings prospect for the rest of 2025 has improved as compared to the prior expectation in late 2024. Accordingly, we have updated both our financial projections and discount rate (from 19% to 18%) used in the DCF method to reflect a more optimistic outlook, leading to an additional increase in the estimated fair value of our Class A ordinary shares by 69.7%.</w:t>
      </w:r>
    </w:p>
    <w:p>
      <w:pPr>
        <w:spacing w:after="0" w:line="80" w:lineRule="exact"/>
        <w:rPr>
          <w:sz w:val="20"/>
          <w:szCs w:val="20"/>
          <w:color w:val="auto"/>
        </w:rPr>
      </w:pPr>
    </w:p>
    <w:p>
      <w:pPr>
        <w:jc w:val="both"/>
        <w:ind w:left="1800" w:right="419" w:hanging="180"/>
        <w:spacing w:after="0" w:line="257"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trading performance of industry peers improved significantly in the first quarter of 2025. Since January 1, 2025, two comparable PRC-based beverage chains listed on the Hong Kong Stock Exchange have experienced significant increases in their price-to-earnings (P/E) ratios. The stock prices of these two peer companies increased by 45% and 78% respectively from their first trading day to March 31, 2025. This positive development reflects an enhanced market sentiment towards investing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spacing w:after="0" w:line="261" w:lineRule="auto"/>
        <w:rPr>
          <w:sz w:val="20"/>
          <w:szCs w:val="20"/>
          <w:color w:val="auto"/>
        </w:rPr>
      </w:pPr>
      <w:r>
        <w:rPr>
          <w:rFonts w:ascii="Times New Roman" w:cs="Times New Roman" w:eastAsia="Times New Roman" w:hAnsi="Times New Roman"/>
          <w:sz w:val="18"/>
          <w:szCs w:val="18"/>
          <w:color w:val="auto"/>
        </w:rPr>
        <w:t>in the PRC tea drinks industry, contributing to the remaining portion of the increase in the estimated fair value of our Class A ordinary shares. Accordingly, the updated market benchmarks and improved valuation multiples were considered by us and our underwriters in determining the estimated initial public offering price range.</w:t>
      </w:r>
    </w:p>
    <w:p>
      <w:pPr>
        <w:spacing w:after="0" w:line="85" w:lineRule="exact"/>
        <w:rPr>
          <w:sz w:val="20"/>
          <w:szCs w:val="20"/>
          <w:color w:val="auto"/>
        </w:rPr>
      </w:pPr>
    </w:p>
    <w:p>
      <w:pPr>
        <w:jc w:val="both"/>
        <w:ind w:left="1800" w:right="419" w:hanging="180"/>
        <w:spacing w:after="0" w:line="255"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 but not least, we received favorable indications of interest from potential qualified investors during the “testing the waters” meetings conducted in connection with the IPO as disclosed in this prospectus. Feedback from these qualified institutional investors suggested strong investor interest at a valuation that is materially higher than previously contemplated. As such, the estimated initial public offering price range reflects investor willingness to participate in the IPO at a price that considers qualitative and quantitative factors that were not objectively measurable or explicitly reflected in our earlier valuations as a privately-held company.</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4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To date, inflation in mainland China has not materially affected our results of operations. According to the National Bureau of Statistics of China, the year-over-year percent changes in the consumer price index for 2022, 2023 and 2024 were increases of 2.0%, 0.2% and 0.2%, respectively. Although we have not been materially affected by inflation in mainland China in the past, we may be affected if mainland China experiences higher rates of inflation in the future.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Our operating transactions are mainly denominated in Renminbi. Renminbi is not freely convertible into foreign currencies. The value of the Renminbi is subject to changes by the central government policies and to international economic and political developments. In the PRC, certain foreign exchange transactions are required by law to be transacted only through authorized financial institutions at exchange rates set by the People’s Bank of China (the “</w:t>
      </w:r>
      <w:r>
        <w:rPr>
          <w:rFonts w:ascii="Times New Roman" w:cs="Times New Roman" w:eastAsia="Times New Roman" w:hAnsi="Times New Roman"/>
          <w:sz w:val="18"/>
          <w:szCs w:val="18"/>
          <w:b w:val="1"/>
          <w:bCs w:val="1"/>
          <w:color w:val="auto"/>
        </w:rPr>
        <w:t>PBOC</w:t>
      </w:r>
      <w:r>
        <w:rPr>
          <w:rFonts w:ascii="Times New Roman" w:cs="Times New Roman" w:eastAsia="Times New Roman" w:hAnsi="Times New Roman"/>
          <w:sz w:val="18"/>
          <w:szCs w:val="18"/>
          <w:color w:val="auto"/>
        </w:rPr>
        <w:t>”). Remittances in currencies other than Renminbi by the Group in the PRC must be processed through PBOC or other PRC foreign exchange regulatory bodies which require certain supporting documents in order to affect the remittances. We are exposed to risks related to movements between Renminbi and U.S. dollars. We do not believe that we are currently exposed to any significant direct foreign exchange risk and has not hedged exposures denominated in foreign currencies or any other derivative financial instruments. Although our exposure to foreign exchange risks is limited, the value of your investment in the ADSs will be affected by the exchange rate between U.S. dollars and Renminbi because the value of our business is effectively denominated in Renminbi, and the ADSs will be traded in U.S. dollars.</w:t>
      </w:r>
    </w:p>
    <w:p>
      <w:pPr>
        <w:spacing w:after="0" w:line="325"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As of December 31, 2023 and 2024, our cash and cash equivalents, restricted cash and time deposits denominated in Renminbi were RMB1,832.3 million and RMB4,708.8 million (US$645.1 million), accounting for 75.6% and 96.7%, respectively, of our cash and cash equivalents, restricted cash and time deposits.</w:t>
      </w:r>
    </w:p>
    <w:p>
      <w:pPr>
        <w:spacing w:after="0" w:line="332"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Any significant appreciation or depreciation of Renminbi may materially and adversely affect our revenues, earnings and financial position, and the value of, and any dividends payable on, the ADSs in U.S. dollars. For example, to the extent that we need to convert U.S. dollars we receive into Renminbi to pay our operating expenses, appreciation of Renminbi against the U.S. dollar would have an adverse effect on the Renminbi amount we would receive from the conversion. Conversely, a significant depreciation of Renminbi</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against the U.S. dollar may significantly reduce the U.S. dollar equivalent of our earnings, which in turn could adversely affect the price of the ADSs.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risk</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There were no customers individually represented greater than 10% of our total net revenues for the years ended December 31, 2022, 2023 and 2024. There was one and nil customer individually represented more than 10% of our net accounts receivable as of December 31, 2023, and 2024, respectively.</w:t>
      </w:r>
    </w:p>
    <w:p>
      <w:pPr>
        <w:spacing w:after="0" w:line="108"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There was one, one and two suppliers providing materials and packaging individually in each period who exceeded 10% of our total purchases for the years ended December 31, 2022, 2023 and 2024, respectively.</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4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credit risk arises from cash and cash equivalents, short-term investments, other receivables included in prepayments and other current assets, and accounts receivable. The carrying amounts of these financial instruments represent the maximum amount of loss due to credit risk. As of December 31, 2023 and 2024, the majority of our cash and cash equivalents and time deposits were held by major financial institutions located in the PRC and Hong Kong which we believe are of high credit quality. Accounts receivable are typically unsecured and are mainly derived from the ordinary course of business in the PRC and overseas. Our accounts receivable, net were RMB92.8 million and RMB122.0 million (US$16.7 million) as of December 31, 2023 and 2024, respectively. The risk with respect to these financial instruments is mitigated by credit evaluations we perform on our consumers and our ongoing monitoring processes of outstanding balances.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For information on recently issued accounting pronouncements, refer to Note 2 to our consolidated financial statements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6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This prospectus contains information derived from an industry report commissioned by us and prepared by iResearch, an independent market research firm, to provide information regarding our industry and market position and opportunities. Such industry report was prepared by iResearch based on various government and industry publications, interviews with industry participants and experts, and other available sources from public market research. The industry in which we operate is subject to a high degree of uncertainty and risk due to a variety of factors, including those described in the “Risk Factors” section. These and other factors could cause results to differ materially from those expressed in these publications and reports.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China’s Freshly-Made Tea Drinks Market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China’s tea drinks market has experienced consistent growth in the past. According to iResearch, China’s tea drinks market by GMV grew from RMB474.8 billion in 2019 to RMB818.9 billion in 2024, and is projected to reach RMB1,102.7 billion in 2028, representing a CAGR of 7.7% from 2024 to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93345</wp:posOffset>
            </wp:positionV>
            <wp:extent cx="4989195" cy="31546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98919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Source: iResearch</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Note:</w:t>
      </w:r>
    </w:p>
    <w:p>
      <w:pPr>
        <w:spacing w:after="0" w:line="63" w:lineRule="exact"/>
        <w:rPr>
          <w:sz w:val="20"/>
          <w:szCs w:val="20"/>
          <w:color w:val="auto"/>
        </w:rPr>
      </w:pPr>
    </w:p>
    <w:p>
      <w:pPr>
        <w:ind w:left="1620" w:right="419" w:hanging="360"/>
        <w:spacing w:after="0" w:line="261"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Measured by GMV generated from freshly-made tea drinks sold in freshly-made tea drinks stores in China.</w:t>
      </w:r>
    </w:p>
    <w:p>
      <w:pPr>
        <w:spacing w:after="0" w:line="34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Within this massive, growing market, the freshly-made tea drinks market segment has shown more rapid growth, driven by increased demand for high-quality products from a large discerning young consumer base. The market size by GMV of freshly-made tea drinks increased at a CAGR of 21.7% from RMB102.2 billion in 2019 to RMB272.7 billion in 2024, outpacing other market segments within the overall tea drinks market. By 2028, the market size of China’s freshly-made tea drinks is projected to reach RMB426.0 billion in 2028, with a CAGR of 11.8% from 2024 to 2028.</w:t>
      </w:r>
    </w:p>
    <w:p>
      <w:pPr>
        <w:spacing w:after="0" w:line="11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Teahouses primarily serving freshly- made tea drinks, which we refer to as “freshly-made tea drinks stores,” represent the main consumption channel for freshly-made tea drinks. China’s freshly-made tea drinks stores experienced rapid growth in total GMV, which increased from RMB123.6 billion in 2019 to</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1" w:lineRule="auto"/>
        <w:rPr>
          <w:sz w:val="20"/>
          <w:szCs w:val="20"/>
          <w:color w:val="auto"/>
        </w:rPr>
      </w:pPr>
      <w:r>
        <w:rPr>
          <w:rFonts w:ascii="Times New Roman" w:cs="Times New Roman" w:eastAsia="Times New Roman" w:hAnsi="Times New Roman"/>
          <w:sz w:val="18"/>
          <w:szCs w:val="18"/>
          <w:color w:val="auto"/>
        </w:rPr>
        <w:t>RMB334.6 billion in 2024 with a CAGR of 22.0% from 2019 to 2024. As consumption levels continued to rebound since 2024, the total GMV of freshly-made tea drinks stores is anticipated to further grow at a CAGR of 12.0% to RMB526.9 billion in 2028.</w:t>
      </w:r>
    </w:p>
    <w:p>
      <w:pPr>
        <w:spacing w:after="0" w:line="137" w:lineRule="exact"/>
        <w:rPr>
          <w:sz w:val="20"/>
          <w:szCs w:val="20"/>
          <w:color w:val="auto"/>
        </w:rPr>
      </w:pPr>
    </w:p>
    <w:p>
      <w:pPr>
        <w:jc w:val="both"/>
        <w:ind w:left="1260"/>
        <w:spacing w:after="0"/>
        <w:tabs>
          <w:tab w:leader="none" w:pos="9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-119380</wp:posOffset>
            </wp:positionV>
            <wp:extent cx="5177790" cy="3446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77790"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Source: iResearch</w:t>
      </w:r>
    </w:p>
    <w:p>
      <w:pPr>
        <w:spacing w:after="0" w:line="1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Note:</w:t>
      </w:r>
    </w:p>
    <w:p>
      <w:pPr>
        <w:spacing w:after="0" w:line="104" w:lineRule="exact"/>
        <w:rPr>
          <w:sz w:val="20"/>
          <w:szCs w:val="20"/>
          <w:color w:val="auto"/>
        </w:rPr>
      </w:pPr>
    </w:p>
    <w:p>
      <w:pPr>
        <w:ind w:left="1620" w:right="419" w:hanging="360"/>
        <w:spacing w:after="0" w:line="282" w:lineRule="auto"/>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Measured by GMV generated from all products sold at the freshly-made tea drinks stores in China, including freshly-made tea drinks and other products.</w:t>
      </w:r>
    </w:p>
    <w:p>
      <w:pPr>
        <w:spacing w:after="0" w:line="148"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In particular, premium freshly-made tea drinks stores that offer drinks at an average price of no less than RMB17.0 (approximately US$2.5) per cup continued to expand rapidly due to the increasing consumer emphasis on health, quality and brand values. This market segment therefore continues to gain market shares from low-priced market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569595</wp:posOffset>
            </wp:positionV>
            <wp:extent cx="5092065" cy="32232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092065"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Source: iResearch</w:t>
      </w:r>
    </w:p>
    <w:p>
      <w:pPr>
        <w:spacing w:after="0" w:line="16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total GMV of the premium freshly-made tea drinks stores, as a percentage of all freshly-made tea drinks stores, continued to increase from 10.9% in 2019 to 25.9% in 2024, and is projected to reach 31.7% in 2028. Driven by such tremendous market potential, the total number of premium freshly-made tea drinks stores rose from 5,276 stores in 2019 to 30,917 stores in 2024, and is anticipated to reach 51,468 stores in 2028, constituting 9.7% of the total number freshly-made tea drinks stores in China.</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Key Market Drivers</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below factors are driving the growth of China’s freshly-made tea drinks market, and particularly, the premium market segment.</w:t>
      </w:r>
    </w:p>
    <w:p>
      <w:pPr>
        <w:spacing w:after="0" w:line="79"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Greater focus on drinks quality and health benefits. </w:t>
      </w:r>
      <w:r>
        <w:rPr>
          <w:rFonts w:ascii="Times New Roman" w:cs="Times New Roman" w:eastAsia="Times New Roman" w:hAnsi="Times New Roman"/>
          <w:sz w:val="18"/>
          <w:szCs w:val="18"/>
          <w:color w:val="auto"/>
        </w:rPr>
        <w:t>With a growing demand for an enhanced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and health-conscious options, consumers are looking for high-quality tea beverages that are lower in calories, made with superior ingredients and offer greater ingredient transparency. This trend is creating new market opportunities for leading premium tea brands that have the margins and market positioning to continually invest in improving their product along these dimensions.</w:t>
      </w:r>
    </w:p>
    <w:p>
      <w:pPr>
        <w:spacing w:after="0" w:line="116"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Emergence of tea as a lifestyle choice. </w:t>
      </w:r>
      <w:r>
        <w:rPr>
          <w:rFonts w:ascii="Times New Roman" w:cs="Times New Roman" w:eastAsia="Times New Roman" w:hAnsi="Times New Roman"/>
          <w:sz w:val="18"/>
          <w:szCs w:val="18"/>
          <w:color w:val="auto"/>
        </w:rPr>
        <w:t>Today’s consumers increasingly view tea not only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beverage, but also as a lifestyle choice that combines convenience, visual appeal, individual expression and social connection. As younger consumers become a larger part of the tea market, this trend is becoming more pronounced. The premium freshly-made tea drinks segment is well positioned to capitalize on this trend by incorporating these attributes into their product designs and leveraging social media platforms to associate their brand with these attributes.</w:t>
      </w:r>
    </w:p>
    <w:p>
      <w:pPr>
        <w:spacing w:after="0" w:line="115"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Modernization and digitalization driven by technologies</w:t>
      </w:r>
      <w:r>
        <w:rPr>
          <w:rFonts w:ascii="Times New Roman" w:cs="Times New Roman" w:eastAsia="Times New Roman" w:hAnsi="Times New Roman"/>
          <w:sz w:val="18"/>
          <w:szCs w:val="18"/>
          <w:color w:val="auto"/>
        </w:rPr>
        <w:t>. Leading tea drinks brands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enhancing their supply chain and store efficiency through digital transformation and application of supply chain, store operation, as well as consumer service technologies. Utilizing digital tools and automation, these brands innovate products based on the latest consumer preferences, standardize and automate the in-store tea making process, integrate online and offline marketing channels, and intelligently manage all facets of store operations and supply chains.</w:t>
      </w: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firstLine="360"/>
        <w:spacing w:after="0" w:line="248" w:lineRule="auto"/>
        <w:rPr>
          <w:sz w:val="20"/>
          <w:szCs w:val="20"/>
          <w:color w:val="auto"/>
        </w:rPr>
      </w:pPr>
      <w:r>
        <w:rPr>
          <w:rFonts w:ascii="Times New Roman" w:cs="Times New Roman" w:eastAsia="Times New Roman" w:hAnsi="Times New Roman"/>
          <w:sz w:val="18"/>
          <w:szCs w:val="18"/>
          <w:i w:val="1"/>
          <w:iCs w:val="1"/>
          <w:color w:val="auto"/>
        </w:rPr>
        <w:t>Effective marketing and media strategies</w:t>
      </w:r>
      <w:r>
        <w:rPr>
          <w:rFonts w:ascii="Times New Roman" w:cs="Times New Roman" w:eastAsia="Times New Roman" w:hAnsi="Times New Roman"/>
          <w:sz w:val="18"/>
          <w:szCs w:val="18"/>
          <w:color w:val="auto"/>
        </w:rPr>
        <w:t>. Upgraded media channels, including social media and short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video platforms, allow freshly-made tea drinks brands to widen their consumer reach and enhance their influence. Through digital channels, brands establish enduring interactive relationships with consumers, boosting repurchase rates and brand awareness. Additionally, innovative strategies such as co-branding, unique logos and store designs, and engaging packaging designs, are employed to increase consumer desire and loyalty.</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Future Trends</w:t>
      </w:r>
    </w:p>
    <w:p>
      <w:pPr>
        <w:spacing w:after="0" w:line="160"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Franchise as the dominant model for continuous business expansion</w:t>
      </w:r>
      <w:r>
        <w:rPr>
          <w:rFonts w:ascii="Times New Roman" w:cs="Times New Roman" w:eastAsia="Times New Roman" w:hAnsi="Times New Roman"/>
          <w:sz w:val="18"/>
          <w:szCs w:val="18"/>
          <w:color w:val="auto"/>
        </w:rPr>
        <w:t>. The expansion strategies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freshly-made tea drinks brands are evolving, emphasizing mutually-beneficial collaborations with business partners, and swift adaption to changing industry trends. Franchising has emerged as a key method for rapidly expanding brand influence and market presence in China’s freshly- made tea drinks market. With intensifying market competition, premium freshly-made tea drinks brands, which previously focused on self-operated model, are now embracing franchising to broaden their consumer base and penetrate challenging markets.</w:t>
      </w:r>
    </w:p>
    <w:p>
      <w:pPr>
        <w:spacing w:after="0" w:line="325"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Emphasis on social and cultural aspects of brand identity</w:t>
      </w:r>
      <w:r>
        <w:rPr>
          <w:rFonts w:ascii="Times New Roman" w:cs="Times New Roman" w:eastAsia="Times New Roman" w:hAnsi="Times New Roman"/>
          <w:sz w:val="18"/>
          <w:szCs w:val="18"/>
          <w:color w:val="auto"/>
        </w:rPr>
        <w:t>. Within China’s freshly-made tea drinks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consumers have shifted beyond mere purchases to appreciating the cultural and brand philosophies behind the drinks. Tea consumption has transformed from satisfying taste buds to expressing individual identity. To provide a unique in-store experience, premium freshly -made tea drinks brands prioritize the social and experiential aspects. This includes enhancing store design, creating comfortable atmospheres, and emphasizing memorable branding. Additionally, premium tea drinks brands are increasingly focusing on recognizable product names, innovative packaging, logos, and peripheral products for effective brand marketing.</w:t>
      </w:r>
    </w:p>
    <w:p>
      <w:pPr>
        <w:spacing w:after="0" w:line="322" w:lineRule="exact"/>
        <w:rPr>
          <w:sz w:val="20"/>
          <w:szCs w:val="20"/>
          <w:color w:val="auto"/>
        </w:rPr>
      </w:pPr>
    </w:p>
    <w:p>
      <w:pPr>
        <w:ind w:left="1620"/>
        <w:spacing w:after="0"/>
        <w:tabs>
          <w:tab w:leader="none" w:pos="5760" w:val="left"/>
        </w:tabs>
        <w:rPr>
          <w:sz w:val="20"/>
          <w:szCs w:val="20"/>
          <w:color w:val="auto"/>
        </w:rPr>
      </w:pPr>
      <w:r>
        <w:rPr>
          <w:rFonts w:ascii="Times New Roman" w:cs="Times New Roman" w:eastAsia="Times New Roman" w:hAnsi="Times New Roman"/>
          <w:sz w:val="18"/>
          <w:szCs w:val="18"/>
          <w:i w:val="1"/>
          <w:iCs w:val="1"/>
          <w:color w:val="auto"/>
        </w:rPr>
        <w:t>Increased popularity of health-oriented products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Consumer focus has shifted towards healthier,</w:t>
      </w:r>
    </w:p>
    <w:p>
      <w:pPr>
        <w:spacing w:after="0" w:line="29"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natural ingredients, driving premium freshly-made tea drinks brands to prioritize sourcing high-quality raw materials. These brands utilize modern equipment to ensure product hygiene and consistency. This change in consumer preference, from flavor to quality and health, is evident as consumers willingly pay a premium for such products. This trend supports the growth of premium freshly-made tea drinks brands.</w:t>
      </w:r>
    </w:p>
    <w:p>
      <w:pPr>
        <w:spacing w:after="0" w:line="117" w:lineRule="exact"/>
        <w:rPr>
          <w:sz w:val="20"/>
          <w:szCs w:val="20"/>
          <w:color w:val="auto"/>
        </w:rPr>
      </w:pPr>
    </w:p>
    <w:p>
      <w:pPr>
        <w:ind w:left="1620"/>
        <w:spacing w:after="0"/>
        <w:tabs>
          <w:tab w:leader="none" w:pos="5540" w:val="left"/>
        </w:tabs>
        <w:rPr>
          <w:sz w:val="20"/>
          <w:szCs w:val="20"/>
          <w:color w:val="auto"/>
        </w:rPr>
      </w:pPr>
      <w:r>
        <w:rPr>
          <w:rFonts w:ascii="Times New Roman" w:cs="Times New Roman" w:eastAsia="Times New Roman" w:hAnsi="Times New Roman"/>
          <w:sz w:val="18"/>
          <w:szCs w:val="18"/>
          <w:i w:val="1"/>
          <w:iCs w:val="1"/>
          <w:color w:val="auto"/>
        </w:rPr>
        <w:t>Digitalized and automated storefront operations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 a market dominated by chain stores, optimizing</w:t>
      </w:r>
    </w:p>
    <w:p>
      <w:pPr>
        <w:spacing w:after="0" w:line="29"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store performance is a key strategy for top brands. Premium freshly-made tea drinks brands concentrate on refining micro-level indicators like labor efficiency, sales per square meter, and product effectiveness. Continuous enhancement of digitalization capabilities is expected to benefit individual stores in the long term. For example, digital tools and information technology enable freshly-made tea drinks stores to control operational costs effectively, while automation equipment ensures quality consistency, reduces labor expenses, and enhances operational efficiency.</w:t>
      </w:r>
    </w:p>
    <w:p>
      <w:pPr>
        <w:spacing w:after="0" w:line="115"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Accelerated international expansion</w:t>
      </w:r>
      <w:r>
        <w:rPr>
          <w:rFonts w:ascii="Times New Roman" w:cs="Times New Roman" w:eastAsia="Times New Roman" w:hAnsi="Times New Roman"/>
          <w:sz w:val="18"/>
          <w:szCs w:val="18"/>
          <w:color w:val="auto"/>
        </w:rPr>
        <w:t>. Leading freshly-made tea drinks brands in China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expanding into overseas markets, opening tea drinks stores abroad to capitalize on the global popularity of both traditional and modern Chinese tea drinks. These brands offer a diverse range of beverages, including traditional teas, fruit teas, and milk teas, featuring unique flavor combinations. This variety caters to a global audience seeking unique and healthier beverage options. This trend is anticipated to continue as more brands respond to the increasing global demand for high-quality tea drinks.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Market Competition</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freshly-made tea drinks market in China is highly competitive, featuring brands with different pricing strategies, operating models, technology capabilities and product development strategies.</w:t>
      </w:r>
    </w:p>
    <w:p>
      <w:pPr>
        <w:spacing w:after="0" w:line="93"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Pricing strategies</w:t>
      </w:r>
      <w:r>
        <w:rPr>
          <w:rFonts w:ascii="Times New Roman" w:cs="Times New Roman" w:eastAsia="Times New Roman" w:hAnsi="Times New Roman"/>
          <w:sz w:val="18"/>
          <w:szCs w:val="18"/>
          <w:color w:val="auto"/>
        </w:rPr>
        <w:t>. Freshly-made tea drinks brands in China employ varied pricing strategies to appeal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diverse consumers. Categorized by average per cup price, the market comprises premium and low-priced segments. The premium sector, with an average per cup price of RMB17.0 (approximately US$2.5) or higher, offers premium choices. The low-priced segment, with an average per cup price below RMB17.0 (approximately US$2.5) per cup, provides options for budget-conscious consumers.</w:t>
      </w:r>
    </w:p>
    <w:p>
      <w:pPr>
        <w:spacing w:after="0" w:line="106"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Operating models</w:t>
      </w:r>
      <w:r>
        <w:rPr>
          <w:rFonts w:ascii="Times New Roman" w:cs="Times New Roman" w:eastAsia="Times New Roman" w:hAnsi="Times New Roman"/>
          <w:sz w:val="18"/>
          <w:szCs w:val="18"/>
          <w:color w:val="auto"/>
        </w:rPr>
        <w:t>. China’s freshly made tea drinks market is predominated by low-priced brands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a franchise model, which allows these brands to rapidly scale up business. Street- side locations are highly preferred by these brands to minimize operational costs. In contrast, CHAGEE distinguishes itself by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operating a vast teahouse network primarily located in premium shopping malls where other premium lifestyle and food and beverage brands cluster. This unique strategy leads to effective competition and stronger brand image.</w:t>
      </w:r>
    </w:p>
    <w:p>
      <w:pPr>
        <w:spacing w:after="0" w:line="59" w:lineRule="exact"/>
        <w:rPr>
          <w:sz w:val="20"/>
          <w:szCs w:val="20"/>
          <w:color w:val="auto"/>
        </w:rPr>
      </w:pPr>
    </w:p>
    <w:p>
      <w:pPr>
        <w:jc w:val="both"/>
        <w:ind w:left="1800" w:right="419" w:hanging="180"/>
        <w:spacing w:after="0" w:line="255"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Strategic advantages and entry barriers for shopping mall locations.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 shopping malls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ensure a consistent and high-quality footfall, enhancing brand visibility and market penetration. Prime locations within shopping malls are usually limited to reputable brands that align with premium shopping destinations, creating entry barriers for newcomers. Additionally, established freshly-made tea drinks brands, with existing ties to reputable real estate developers, are usually able to secure prime locations as these developers grow shopping mall networks nationwide, thereby reinforcing the entry barriers. Furthermore, a brand’s presence in such prestigious venues enhances brand prestige and trustworthiness, bolstering consumer confidence.</w:t>
      </w:r>
    </w:p>
    <w:p>
      <w:pPr>
        <w:spacing w:after="0" w:line="76" w:lineRule="exact"/>
        <w:rPr>
          <w:rFonts w:ascii="Times New Roman" w:cs="Times New Roman" w:eastAsia="Times New Roman" w:hAnsi="Times New Roman"/>
          <w:sz w:val="18"/>
          <w:szCs w:val="18"/>
          <w:color w:val="auto"/>
        </w:rPr>
      </w:pPr>
    </w:p>
    <w:p>
      <w:pPr>
        <w:jc w:val="both"/>
        <w:ind w:left="1800" w:right="419" w:hanging="180"/>
        <w:spacing w:after="0" w:line="257"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Strategic advantages and entry barriers for franchise operations</w:t>
      </w:r>
      <w:r>
        <w:rPr>
          <w:rFonts w:ascii="Times New Roman" w:cs="Times New Roman" w:eastAsia="Times New Roman" w:hAnsi="Times New Roman"/>
          <w:sz w:val="18"/>
          <w:szCs w:val="18"/>
          <w:color w:val="auto"/>
        </w:rPr>
        <w:t>. The franchise model enables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freshly-made tea drinks brands to expand on a large scale and enhance brand influence efficiently. However, it requires an effective franchise management system, including organizational structures, talent training, internal promotion programs, store management, and incentive mechanisms. This erects a high entry barrier for potential market entrants to compete effectively with established players.</w:t>
      </w:r>
    </w:p>
    <w:p>
      <w:pPr>
        <w:spacing w:after="0" w:line="323"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Technology capabilities. </w:t>
      </w:r>
      <w:r>
        <w:rPr>
          <w:rFonts w:ascii="Times New Roman" w:cs="Times New Roman" w:eastAsia="Times New Roman" w:hAnsi="Times New Roman"/>
          <w:sz w:val="18"/>
          <w:szCs w:val="18"/>
          <w:color w:val="auto"/>
        </w:rPr>
        <w:t>In China’s freshly-made tea drinks market, technology is playing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increasingly significant role in the operation, consumer services and overall business management of tea drinks brands. Top freshly-made tea drinks brands rely on more technology and digital tools to optimize their store operations and supply chain management and adopt data-driven business strategies to improve operation efficiency and drive profitability. The inability to make continuous investment in technologies makes it challenging for emerging, smaller brands with limited capital and other resources to compete effectively in this increasingly technology-driven, competitive market.</w:t>
      </w:r>
    </w:p>
    <w:p>
      <w:pPr>
        <w:spacing w:after="0" w:line="114"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Product development strategies</w:t>
      </w:r>
      <w:r>
        <w:rPr>
          <w:rFonts w:ascii="Times New Roman" w:cs="Times New Roman" w:eastAsia="Times New Roman" w:hAnsi="Times New Roman"/>
          <w:sz w:val="18"/>
          <w:szCs w:val="18"/>
          <w:color w:val="auto"/>
        </w:rPr>
        <w:t>. Unlike most premium freshly-made tea drinks brands that are focused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fruit teas or develop an expansive menu, CHAGEE distinguishes itself by specializing in tea lattes made from natural tea leaves and fresh milk as its core product offerings. Compared to fruit teas, tea lattes require a simpler and more standardized supply chain, facilitating more rapid business expansion. The enduring popularity of tea latte’s simple taste contributes to a longer product lifecycle, reinforcing its market appeal. Additionally, by promoting strong, recognizable brands for individual products, CHAGEE creates deeper consumer connections, fostering brand loyalty in a cost-effective manner.</w:t>
      </w:r>
    </w:p>
    <w:p>
      <w:pPr>
        <w:spacing w:after="0" w:line="116"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As of December 31, 2023, CHAGEE’s network comprised 3,511 teahouses, including 3,416 located in China. As of December 31, 2024, CHAGEE’s store network further expanded to encompass 6,440 teahouses in China and overseas. This scale represents the largest store network among all premium freshly-made tea drinks brands in China, with a market share of 20.3%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wp:posOffset>
            </wp:positionV>
            <wp:extent cx="5212080" cy="22720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21208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Source: iResearch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From 2022 to 2024, CHAGEE recorded the fastest growth as measured by GMV generated within China among all freshly-made tea drinks brands with over 1,000 stores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36830</wp:posOffset>
            </wp:positionV>
            <wp:extent cx="5212080" cy="18173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21208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Source: iResearch</w:t>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Note:</w:t>
      </w:r>
    </w:p>
    <w:p>
      <w:pPr>
        <w:spacing w:after="0" w:line="77" w:lineRule="exact"/>
        <w:rPr>
          <w:sz w:val="20"/>
          <w:szCs w:val="20"/>
          <w:color w:val="auto"/>
        </w:rPr>
      </w:pPr>
    </w:p>
    <w:p>
      <w:pPr>
        <w:ind w:left="1620" w:right="419" w:hanging="360"/>
        <w:spacing w:after="0" w:line="282" w:lineRule="auto"/>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Measured by GMV generated from all products sold at the freshly-made tea drinks stores in China, including freshly-made tea drinks and other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With every cup of our tea, we aspire to foster a global connection of people and cultures.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Vision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 modernize the tea-drinking experience through technology and innovation.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Core Values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“Customer First” is the foundational philosophy of how we make decisions and run our business.</w:t>
      </w:r>
    </w:p>
    <w:p>
      <w:pPr>
        <w:spacing w:after="0" w:line="15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“Caring for Partners” is the core value that defines how we interact with consumers, franchise partners, suppliers, and employees.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“Quality, Health, and Convenience” is the guiding principle of how we make our products.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CHAGEE is a leading premium tea drinks brand, serving healthy and delicious freshly- made tea drinks. Its creation, in 2017, was inspired by how international coffee chains have made coffee drinking both a worldwide lifestyle and a social concept since the 1970s. This success has made us believe that tea drinking needs to be transformed too — and led us to use the power of technology and brand to make tea drinking a modern-day experience that connects people and cultures around the world.</w:t>
      </w:r>
    </w:p>
    <w:p>
      <w:pPr>
        <w:spacing w:after="0" w:line="11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Today, nearly eight years after our inception and with our relentless passion for technology and pursuit of innovation, we stand out as China’s largest, fastest-growing, and most popular premium freshly-made tea drinks brand, according to iResearch:</w:t>
      </w:r>
    </w:p>
    <w:p>
      <w:pPr>
        <w:spacing w:after="0" w:line="48" w:lineRule="exact"/>
        <w:rPr>
          <w:sz w:val="20"/>
          <w:szCs w:val="20"/>
          <w:color w:val="auto"/>
        </w:rPr>
      </w:pPr>
    </w:p>
    <w:p>
      <w:pPr>
        <w:jc w:val="both"/>
        <w:ind w:left="1800" w:right="419" w:hanging="180"/>
        <w:spacing w:after="0" w:line="266"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our network comprised 6,440 teahouses, including 6,284 located in China. This scale represents the largest store network among all premium freshly-made tea drinks brands in China.</w:t>
      </w:r>
    </w:p>
    <w:p>
      <w:pPr>
        <w:spacing w:after="0" w:line="27" w:lineRule="exact"/>
        <w:rPr>
          <w:rFonts w:ascii="Times New Roman" w:cs="Times New Roman" w:eastAsia="Times New Roman" w:hAnsi="Times New Roman"/>
          <w:sz w:val="18"/>
          <w:szCs w:val="18"/>
          <w:color w:val="auto"/>
        </w:rPr>
      </w:pPr>
    </w:p>
    <w:p>
      <w:pPr>
        <w:jc w:val="both"/>
        <w:ind w:left="1800" w:right="419" w:hanging="180"/>
        <w:spacing w:after="0" w:line="263"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and 2024, our total GMV generated in China and overseas reached RMB10.8 billion and RMB29.5 billion, respectively. As measured by GMV generated within China, we recorded the fastest growth from 2022 to 2024 among all freshly-made tea drinks brands with over 1,000 stores in China.</w:t>
      </w:r>
    </w:p>
    <w:p>
      <w:pPr>
        <w:spacing w:after="0" w:line="216" w:lineRule="exact"/>
        <w:rPr>
          <w:rFonts w:ascii="Times New Roman" w:cs="Times New Roman" w:eastAsia="Times New Roman" w:hAnsi="Times New Roman"/>
          <w:sz w:val="18"/>
          <w:szCs w:val="18"/>
          <w:color w:val="auto"/>
        </w:rPr>
      </w:pPr>
    </w:p>
    <w:p>
      <w:pPr>
        <w:ind w:left="1800" w:right="419" w:hanging="180"/>
        <w:spacing w:after="0" w:line="236"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ranked the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on China’s social influence index among all freshly-made tea drinks brands in China since October 2023, according to the Social Touch Search Engine.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78105</wp:posOffset>
            </wp:positionV>
            <wp:extent cx="4766310" cy="26060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766310" cy="260604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Notes:</w:t>
      </w:r>
    </w:p>
    <w:p>
      <w:pPr>
        <w:spacing w:after="0" w:line="100" w:lineRule="exact"/>
        <w:rPr>
          <w:sz w:val="20"/>
          <w:szCs w:val="20"/>
          <w:color w:val="auto"/>
        </w:rPr>
      </w:pPr>
    </w:p>
    <w:p>
      <w:pPr>
        <w:jc w:val="both"/>
        <w:ind w:left="1620" w:right="419" w:hanging="360"/>
        <w:spacing w:after="0" w:line="281" w:lineRule="auto"/>
        <w:tabs>
          <w:tab w:leader="none" w:pos="16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(i) the sum of GMV generated by the monthly fully operational teahouses in China in each calendar month during the year ended December 31, 2024 by (ii) the sum of the total number of monthly fully operational teahouses in China in each calendar month during the year ended December 31, 2024.</w:t>
      </w:r>
    </w:p>
    <w:p>
      <w:pPr>
        <w:spacing w:after="0" w:line="42" w:lineRule="exact"/>
        <w:rPr>
          <w:rFonts w:ascii="Times New Roman" w:cs="Times New Roman" w:eastAsia="Times New Roman" w:hAnsi="Times New Roman"/>
          <w:sz w:val="14"/>
          <w:szCs w:val="14"/>
          <w:color w:val="auto"/>
        </w:rPr>
      </w:pPr>
    </w:p>
    <w:p>
      <w:pPr>
        <w:jc w:val="both"/>
        <w:ind w:left="1620" w:right="419" w:hanging="360"/>
        <w:spacing w:after="0" w:line="292" w:lineRule="auto"/>
        <w:tabs>
          <w:tab w:leader="none" w:pos="16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(i) the sum of the number of cups sold by the monthly fully operational teahouses in China in each calendar month during the year ended December 31, 2024 by (ii) the sum of the total number of monthly fully operational teahouses in China in each calendar month during the year ended December 31, 2024.</w:t>
      </w:r>
    </w:p>
    <w:p>
      <w:pPr>
        <w:spacing w:after="0" w:line="15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Universally Appealing Core Menu</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At CHAGEE, we persistently explore and create tea drink recipes that embody purity and a timeless appeal to the diverse palates of a broad spectrum of consumers. This strategic focus anchors the development of our simple core menu.</w:t>
      </w:r>
    </w:p>
    <w:p>
      <w:pPr>
        <w:spacing w:after="0" w:line="95"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use advanced extraction technology to accentuate the pure taste of tea and enhance its depth of flavor through meticulous blending. This technique results in a differentiated, delicious taste of freshness and healthiness that has the ability to transcend time and cultures, captivating consumers worldwide. In 2022, 2023 and 2024, approximately 79%, 87% and 91% of CHAGEE’s GMV generated within China, respectively, were attributed to our signature tea latte products, with approximately 44%, 57% and 61% of GMV generated within China derived from our top three best-selling tea lattes.</w:t>
      </w:r>
    </w:p>
    <w:p>
      <w:pPr>
        <w:spacing w:after="0" w:line="120"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Focusing on a simple core menu also makes it easier for us to ensure product quality, consistency, and convenience through more concentrated, streamlined, and efficient supply chain management as well as highly automated tea preparation processes. This ultimately leads to improved operational efficiency and service quality of our expansive teahouse network.</w:t>
      </w:r>
    </w:p>
    <w:p>
      <w:pPr>
        <w:spacing w:after="0" w:line="17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Modernity Powered by Technology</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are committed to operational efficiency and excellence, which is underpinned by our cutting-edge “tea tech” initiatives. Using digital and automation technologies, we empower every crucial aspect of our operations, from product development to supply chain management, and from consumer engagement to storefront operations.</w:t>
      </w:r>
    </w:p>
    <w:p>
      <w:pPr>
        <w:spacing w:after="0" w:line="99"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We collaborate creatively with our supply chain partners to co-develop automated tea-making machines, heralding the modernization of the century-old tea industry. The application of customized equipment allows our in-store crew to make every cup of CHAGEE drink with consistent quality and taste. Across our teahouses in China and overseas, this level of automation allows us to ensure consistent quality control, enhance store productivity, reduce consumer wait times, and ultimately, elevate the overall tea-drinking experience.</w:t>
      </w:r>
    </w:p>
    <w:p>
      <w:pPr>
        <w:spacing w:after="0" w:line="336"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Our strength in digitalization allows us to achieve what we define to be the “Five Things Online” —  drinks preparation, consumer and partner relationships, supply chain, store lifecycle management, and payments. Essentially, this approach enables us and our franchise partners to run teahouses online, with centralized operations, automated replenishment, and fully integrated management of both franchised and company-owned teahouses. The resulting data insights are organically and intelligently fed into digitalized operations, creating a positive feedback loop that fosters more efficient and closer-knit collaborations with our franchise partners.</w:t>
      </w:r>
    </w:p>
    <w:p>
      <w:pPr>
        <w:spacing w:after="0" w:line="336"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seamless integration of these technologies enables our franchise partners to make better tea drinks for consumers and operate their teahouses smartly and more efficiently. It also allows us and our franchise partners to focus more on consumer services to deliver a compelling experience.</w:t>
      </w:r>
    </w:p>
    <w:p>
      <w:pPr>
        <w:spacing w:after="0" w:line="17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Effectively Managed Teahouse Network</w:t>
      </w:r>
    </w:p>
    <w:p>
      <w:pPr>
        <w:spacing w:after="0" w:line="148"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As of December 31, 2024, our CHAGEE brand encompasses a vast, growing network of 6,440 teahouses, including 6,284 teahouses covering 32 out of 34 province-level divisions across China and 156 teahouses overseas. Of our extensive teahouse network, 6,271 are franchised and 169 are company-owned. We directly manage a total of 398 teahouses, including all of our company-owned teahouses and 229 franchised teahouses.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take pride in our strong ability to manage and scale a franchise network both across China and in a growing number of overseas markets. This ability is rooted in our “managed franchise model” that focuses on effective, centralized management of our franchise network in accordance with our uniform standards in product quality, supply chain management, and consumer service excellence.</w:t>
      </w:r>
    </w:p>
    <w:p>
      <w:pPr>
        <w:spacing w:after="0" w:line="110"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Our ability to effectively manage our growing teahouse network is manifest in our strong operating results:</w:t>
      </w:r>
    </w:p>
    <w:p>
      <w:pPr>
        <w:spacing w:after="0" w:line="311" w:lineRule="exact"/>
        <w:rPr>
          <w:sz w:val="20"/>
          <w:szCs w:val="20"/>
          <w:color w:val="auto"/>
        </w:rPr>
      </w:pPr>
    </w:p>
    <w:p>
      <w:pPr>
        <w:ind w:left="1800" w:right="419" w:hanging="180"/>
        <w:spacing w:after="0" w:line="286"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Number of teahouses</w:t>
      </w:r>
      <w:r>
        <w:rPr>
          <w:rFonts w:ascii="Times New Roman" w:cs="Times New Roman" w:eastAsia="Times New Roman" w:hAnsi="Times New Roman"/>
          <w:sz w:val="18"/>
          <w:szCs w:val="18"/>
          <w:color w:val="auto"/>
        </w:rPr>
        <w:t>. The number of our teahouses increased by 83.4% from 3,511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to 6,440 as of December 31, 2024.</w:t>
      </w:r>
    </w:p>
    <w:p>
      <w:pPr>
        <w:spacing w:after="0" w:line="46" w:lineRule="exact"/>
        <w:rPr>
          <w:rFonts w:ascii="Times New Roman" w:cs="Times New Roman" w:eastAsia="Times New Roman" w:hAnsi="Times New Roman"/>
          <w:sz w:val="18"/>
          <w:szCs w:val="18"/>
          <w:color w:val="auto"/>
        </w:rPr>
      </w:pPr>
    </w:p>
    <w:p>
      <w:pPr>
        <w:jc w:val="both"/>
        <w:ind w:left="1800" w:right="419" w:hanging="180"/>
        <w:spacing w:after="0" w:line="268"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GMV</w:t>
      </w:r>
      <w:r>
        <w:rPr>
          <w:rFonts w:ascii="Times New Roman" w:cs="Times New Roman" w:eastAsia="Times New Roman" w:hAnsi="Times New Roman"/>
          <w:sz w:val="18"/>
          <w:szCs w:val="18"/>
          <w:color w:val="auto"/>
        </w:rPr>
        <w:t>. Our total GMV generated in China and overseas increased by 734.3%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RMB1,293.7 million in 2022 to RMB10,792.8 million in 2023, and further increased by 172.9% to RMB29,457.7 million in 2024.</w:t>
      </w:r>
    </w:p>
    <w:p>
      <w:pPr>
        <w:spacing w:after="0" w:line="62" w:lineRule="exact"/>
        <w:rPr>
          <w:rFonts w:ascii="Times New Roman" w:cs="Times New Roman" w:eastAsia="Times New Roman" w:hAnsi="Times New Roman"/>
          <w:sz w:val="18"/>
          <w:szCs w:val="18"/>
          <w:color w:val="auto"/>
        </w:rPr>
      </w:pPr>
    </w:p>
    <w:p>
      <w:pPr>
        <w:jc w:val="both"/>
        <w:ind w:left="1800" w:right="419" w:hanging="180"/>
        <w:spacing w:after="0" w:line="255"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performance</w:t>
      </w:r>
      <w:r>
        <w:rPr>
          <w:rFonts w:ascii="Times New Roman" w:cs="Times New Roman" w:eastAsia="Times New Roman" w:hAnsi="Times New Roman"/>
          <w:sz w:val="18"/>
          <w:szCs w:val="18"/>
          <w:color w:val="auto"/>
        </w:rPr>
        <w:t>. Our net revenues increased by 843.8% to RMB4,640.2 million in 2023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RMB491.7 million in 2022. In 2024, our net revenues amounted to RMB12,405.6 million (US$1,699.6 million), representing a 167.4% year-over-year increase from RMB4,640.2 million in 2023. Although we experienced a net loss of RMB90.7 million in 2022, we achieved a net income of RMB802.6 million in 2023. Our net income increased by 213.3% to RMB2,514.6 million (US$344.5 million) in 2024 from RMB802.6 million in 2023. As of December 31, 2024, we recorded a working capital surplus of RMB3,141.7 million (US$430.4 million) compared to RMB1,193.3 million as of December 31, 2023.</w:t>
      </w:r>
    </w:p>
    <w:p>
      <w:pPr>
        <w:spacing w:after="0" w:line="341"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As we rapidly scale our operations, our teahouses continue to deliver strong performance. Our average number of cups sold per teahouse per month in China increased from 8,981 in 2022 to 25,099 in 2024. The average monthly GMV of our teahouses in China increased by 188.2% from RMB177.5 thousand in 2022 to RMB511.7 thousand in 2024.</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Market Opportunities</w:t>
      </w:r>
    </w:p>
    <w:p>
      <w:pPr>
        <w:spacing w:after="0" w:line="14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tea drinks market encompasses various consumption scenarios, including (i) freshly-made tea drinks, prepared on-site, (ii) ready-to-drink, or RTD tea drinks, prepackaged and sold in prepared form, and</w:t>
      </w:r>
    </w:p>
    <w:p>
      <w:pPr>
        <w:jc w:val="both"/>
        <w:ind w:left="1260" w:right="419"/>
        <w:spacing w:after="0" w:line="255" w:lineRule="auto"/>
        <w:tabs>
          <w:tab w:leader="none" w:pos="161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forms of tea consumption, such as tea leaves and tea bags. We operate primarily in the freshly-made tea drinks market, where we cater to consumers by providing freshly prepared tea drinks through our extensive network of teahouses.</w:t>
      </w:r>
    </w:p>
    <w:p>
      <w:pPr>
        <w:spacing w:after="0" w:line="11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According to iResearch, China’s freshly-made tea drinks market, as measured by GMV, is growing rapidly to enormous scale, at a CAGR of 21.7% from RMB102.2 billion in 2019 to RMB272.7 billion in 2024, and is expected to reach RMB426.0 billion by 2028. In particular, the premium freshly-made tea drinks segment, defined by an average selling price of RMB17.0 (approximately US$2.5) and above per cup, as a proportion of the overall freshly-made tea drinks market increased from 10.9% in 2019 to 25.9% in 2024. This faster growth is mainly driven by consumer demands for higher-quality products, diversified consumption scenarios, and a rising awareness of health benefits. The total GMV of the premium freshly-made tea drinks segment is expected to reach RMB167.1 billion in 2028, accounting for 31.7% of the total freshly-made tea drinks market.</w:t>
      </w:r>
    </w:p>
    <w:p>
      <w:pPr>
        <w:spacing w:after="0" w:line="327"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Globally, the growth momentum is also tremendous. The global tea drinks market, as the second largest non-alcoholic beverage category worldwide, commanded a GMV of US$467.1 billion in 2024 and is projected to reach US$601.9 billion by 2028, according to iResearch. Freshly-made tea drinks continue to gain popularity across overseas markets. Driven by rising per capita income, an expanding base of tea consumers, and the potential to attract more coffee drinkers by virtue of tea’s affordability and health benefits, the global market for freshly-made tea drinks is expected to reach US$122.0 billion by 2028, representing a CAGR of 18.9% from 2024 to 2028.</w:t>
      </w:r>
    </w:p>
    <w:p>
      <w:pPr>
        <w:spacing w:after="0" w:line="121"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As consumer demands for quality and health attributes continue to rise, coupled with an increasing focus on brand image and culture, freshly-made tea drinks brands are increasingly improving the healthiness and brand values of their products. Digital transformation plays an increasing role in these efforts, as it not only enhances operational efficiency for brands but also addresses consumer demands for more convenient and efficient products and services. Additionally, as the franchise model continues to play a crucial role in business expansion, a robust managed franchise model has emerged as a more effective model for tea drinks brands looking to expand rapidly.</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Fast-Growing, Leading Freshly-Made Tea Drinks Brand with Strong Store Performance</w:t>
      </w:r>
    </w:p>
    <w:p>
      <w:pPr>
        <w:spacing w:after="0" w:line="16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From 2022 to 2024, we recorded the fastest growth as measured by GMV generated within China among all freshly-made tea drinks brands with over 1,000 stores in China, according to iResearch. Our total GMV generated in China and overseas increased by 734.3% from RMB1,293.7 million in 2022 to RMB10,792.8 million in 2023, and further increased by 172.9% to RMB29,457.7 million in 2024. As of December 31, 2024, we are the largest premium freshly-made tea drinks brand in China in terms of the number of stores in China, according to iResearch. As of December 31, 2024, we had 6,440 CHAGEE teahouses within our network, including 6,284 teahouses covering 32 out of 34 province-level divisions across China and 156 teahouses overseas, representing a 83.4% year-over-year increase from our 3,511 teahouses as of December 31, 2023.</w:t>
      </w:r>
    </w:p>
    <w:p>
      <w:pPr>
        <w:spacing w:after="0" w:line="32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Along with our rapid business expansion, our teahouses continue to improve their performance. The average monthly GMV per teahouse in China increased by 171.9% from RMB177.5 thousand in 2022 to RMB482.7 thousand in 2023, and reached RMB511.7 thousand in 2024, which stood out as the highest among all freshly-made tea drinks brands with over 1,000 stores in China, according to iResearch.</w:t>
      </w:r>
    </w:p>
    <w:p>
      <w:pPr>
        <w:spacing w:after="0" w:line="96" w:lineRule="exact"/>
        <w:rPr>
          <w:sz w:val="20"/>
          <w:szCs w:val="20"/>
          <w:color w:val="auto"/>
        </w:rPr>
      </w:pPr>
    </w:p>
    <w:p>
      <w:pPr>
        <w:jc w:val="both"/>
        <w:ind w:left="1260" w:right="419" w:firstLine="360"/>
        <w:spacing w:after="0" w:line="234" w:lineRule="auto"/>
        <w:rPr>
          <w:sz w:val="20"/>
          <w:szCs w:val="20"/>
          <w:color w:val="auto"/>
        </w:rPr>
      </w:pPr>
      <w:r>
        <w:rPr>
          <w:rFonts w:ascii="Times New Roman" w:cs="Times New Roman" w:eastAsia="Times New Roman" w:hAnsi="Times New Roman"/>
          <w:sz w:val="18"/>
          <w:szCs w:val="18"/>
          <w:color w:val="auto"/>
        </w:rPr>
        <w:t>We believe that CHAGEE’s rapid growth in both scale and quality is rooted in our consumers’ love for our brand. With this in mind, we are committed to making CHAGEE a brand that resonates with our consumers and seamlessly integrates into their daily routines. To boost brand influence, we carefully select the locations for each CHAGEE teahouse. Most of our teahouses are strategically situated in prime locations with high consumer traffic, such as the entrances and exits of premier shopping malls or along major commercial streets. We actively promote our brand through social platforms to engage with consumers and enhance brand reputation. According to the Social Touch Search Engine, we have ranked the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on China’s social influence index among all freshly-made tea drinks brands in China since October 2023.</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Core Menu Featuring Universally Beloved Healthy Tea Drinks</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Inspired by the menus of modern coffee chains, we are dedicated to capturing the essence of tea and endeavor to craft a timeless and universally appealing core menu that fosters connections between people and cultures worldwide. By meticulously blending tea and milk, two of the most basic beverages that transcend cultural and culinary boundaries, our signature tea lattes capture consumer mind-shares from all demographics in China and around the world. In 2022, 2023 and 2024, approximately 79%, 87% and 91% of CHAGEE’s GMV generated within China, respectively, were attributed to our signature tea latte products, with approximately 44%, 57% and 61% of GMV generated within China derived from our top three best-selling tea latte drinks.</w:t>
      </w:r>
    </w:p>
    <w:p>
      <w:pPr>
        <w:spacing w:after="0" w:line="32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simple core menu not only enhances consumer awareness and loyalty but also allows us to ensure product quality, standardization and convenience through more concentrated, streamlined and highly efficient supply chain management and highly-automated tea preparation processes, continuously enhancing the operational efficiency of our teahouses.</w:t>
      </w:r>
    </w:p>
    <w:p>
      <w:pPr>
        <w:spacing w:after="0" w:line="11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product development activities revolve around our core menu strategies — we prioritize the creation of modern-day tea drinks that transcend time and cultural boundaries like coffee, instead of the pursuit of short-term hits. Embracing this principle, we introduced the iced oriental tea and teaspresso series, tantalizing consumers with a more intense and authentic tea aroma.</w:t>
      </w:r>
    </w:p>
    <w:p>
      <w:pPr>
        <w:spacing w:after="0" w:line="96"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focus on the health attributes of our products, particularly by eliminating ingredients such as non-dairy creamer and trans fats, to provide consumers with a purer, more natural taste while safeguarding cardiovascular health. Through transparent calorie information, consumers gain a clearer understanding of each tea drink’s contribution to their daily energy intake, which supports their personalized healthy lifestyle management. Simultaneously, we are committed to ingredient transparency, ensuring consumers understand every component of our products through detailed ingredient information.</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Compelling Consumer Experience Delivered by Technology-Driven Operations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Following the path of modernization set by the coffee industry, we strive to be a trailblazer in “tea tech” — using digital, automation and software technologies to make tea drinking more accessible and enjoyable and empower every major aspect of our operations.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digitize our business processes with the power of technology, achieving the “Five Things Online” of drinks preparation, consumers and partners, supply chain, store lifecycle management and payment. This enables us to make informed business decisions based on comprehensive information and continuously improve our operational efficiency:</w:t>
      </w:r>
    </w:p>
    <w:p>
      <w:pPr>
        <w:spacing w:after="0" w:line="67" w:lineRule="exact"/>
        <w:rPr>
          <w:sz w:val="20"/>
          <w:szCs w:val="20"/>
          <w:color w:val="auto"/>
        </w:rPr>
      </w:pPr>
    </w:p>
    <w:p>
      <w:pPr>
        <w:jc w:val="both"/>
        <w:ind w:left="1800" w:right="419" w:hanging="180"/>
        <w:spacing w:after="0" w:line="253"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Tea drinks prepared online</w:t>
      </w:r>
      <w:r>
        <w:rPr>
          <w:rFonts w:ascii="Times New Roman" w:cs="Times New Roman" w:eastAsia="Times New Roman" w:hAnsi="Times New Roman"/>
          <w:sz w:val="18"/>
          <w:szCs w:val="18"/>
          <w:color w:val="auto"/>
        </w:rPr>
        <w:t>. Our integration of technology serves to automate and optimize our store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Collaborating with supply chain partners, we have developed automated tea-making machines that significantly enhance the efficiency of store staff, reduce consumer wait times, and elevate the overall consumer experience. By incorporating our self-developed tea drinks recipe parameters into these machines, we enable our store staff to craft each cup of tea drinks in consistent high quality at approximately eight seconds, eliminating the need for memorizing intricate operational protocols. As we progressively introduce these automated machines across our teahouse network, our drinks preparation efficiency continues to advance. For instance, in 2024, our top 30% performing teahouses, measured by the number of cups sold, achieved an average daily sales volume of approximately 1,300 cups of tea drinks per teahouse — which is more than three times higher than the industry average, according to iResearch. The widespread adoption of automated tea-making machines also reduces our dependence on in-store staff, ensuring standardized and consistent product quality and taste throughout our teahouse network.</w:t>
      </w:r>
    </w:p>
    <w:p>
      <w:pPr>
        <w:spacing w:after="0" w:line="79" w:lineRule="exact"/>
        <w:rPr>
          <w:rFonts w:ascii="Times New Roman" w:cs="Times New Roman" w:eastAsia="Times New Roman" w:hAnsi="Times New Roman"/>
          <w:sz w:val="18"/>
          <w:szCs w:val="18"/>
          <w:color w:val="auto"/>
        </w:rPr>
      </w:pPr>
    </w:p>
    <w:p>
      <w:pPr>
        <w:jc w:val="both"/>
        <w:ind w:left="1800" w:right="419" w:hanging="180"/>
        <w:spacing w:after="0" w:line="254"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Consumers and franchise partners served online</w:t>
      </w:r>
      <w:r>
        <w:rPr>
          <w:rFonts w:ascii="Times New Roman" w:cs="Times New Roman" w:eastAsia="Times New Roman" w:hAnsi="Times New Roman"/>
          <w:sz w:val="18"/>
          <w:szCs w:val="18"/>
          <w:color w:val="auto"/>
        </w:rPr>
        <w:t>. Through a membership system seamlessly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integrated into our mobile mini program, we obtain deep insights into our consumers’ evolving preferences and we use such insights to refine our recipes, create sensible additions to our menu and tailor our social media marketing and sales efforts. This has further enabled us to deliver a compelling consumer experience, which results in higher consumer retention and lifetime value. Additionally, we digitize management to support our franchise partners and store staff, collectively enhancing store operational capabilities while aiding individual career success. For example, we staff CHAGEE teahouses based on real-time consumer traffic and product sales data, maximizing the efficiency of in-store staff.</w:t>
      </w:r>
    </w:p>
    <w:p>
      <w:pPr>
        <w:spacing w:after="0" w:line="286" w:lineRule="exact"/>
        <w:rPr>
          <w:rFonts w:ascii="Times New Roman" w:cs="Times New Roman" w:eastAsia="Times New Roman" w:hAnsi="Times New Roman"/>
          <w:sz w:val="18"/>
          <w:szCs w:val="18"/>
          <w:color w:val="auto"/>
        </w:rPr>
      </w:pPr>
    </w:p>
    <w:p>
      <w:pPr>
        <w:jc w:val="both"/>
        <w:ind w:left="1800" w:right="419" w:hanging="180"/>
        <w:spacing w:after="0" w:line="260"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Supply chain managed online</w:t>
      </w:r>
      <w:r>
        <w:rPr>
          <w:rFonts w:ascii="Times New Roman" w:cs="Times New Roman" w:eastAsia="Times New Roman" w:hAnsi="Times New Roman"/>
          <w:sz w:val="18"/>
          <w:szCs w:val="18"/>
          <w:color w:val="auto"/>
        </w:rPr>
        <w:t>. Our focus on technology allows us to achieve end-to-end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of the supply chain with real-time flow of supply chain data, breaking down information barriers. For example, our store operations system calculates raw material demands in real-time based on sales and the real-time tracking of food expiration dates, automatically triggering order placements.</w:t>
      </w:r>
    </w:p>
    <w:p>
      <w:pPr>
        <w:spacing w:after="0" w:line="291" w:lineRule="exact"/>
        <w:rPr>
          <w:rFonts w:ascii="Times New Roman" w:cs="Times New Roman" w:eastAsia="Times New Roman" w:hAnsi="Times New Roman"/>
          <w:sz w:val="18"/>
          <w:szCs w:val="18"/>
          <w:color w:val="auto"/>
        </w:rPr>
      </w:pPr>
    </w:p>
    <w:p>
      <w:pPr>
        <w:jc w:val="both"/>
        <w:ind w:left="1800" w:right="419" w:hanging="180"/>
        <w:spacing w:after="0" w:line="256"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Store lifecycle managed online</w:t>
      </w:r>
      <w:r>
        <w:rPr>
          <w:rFonts w:ascii="Times New Roman" w:cs="Times New Roman" w:eastAsia="Times New Roman" w:hAnsi="Times New Roman"/>
          <w:sz w:val="18"/>
          <w:szCs w:val="18"/>
          <w:color w:val="auto"/>
        </w:rPr>
        <w:t>. Utilizing digital technology, we manage the entire lifecycle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teahouses online through real-time tracking of store-level information. From online site selection planning, contract signing, store design and decoration, marketing planning to subsequent operational maintenance, we gain real-time and precise insights into the operational status of each store through integrated online management. Continuous optimization and upgrading of our digital technology allow us to enhance store management efficiency, creating a more efficient, convenient, and intelligent store management model.</w:t>
      </w:r>
    </w:p>
    <w:p>
      <w:pPr>
        <w:spacing w:after="0" w:line="295" w:lineRule="exact"/>
        <w:rPr>
          <w:rFonts w:ascii="Times New Roman" w:cs="Times New Roman" w:eastAsia="Times New Roman" w:hAnsi="Times New Roman"/>
          <w:sz w:val="18"/>
          <w:szCs w:val="18"/>
          <w:color w:val="auto"/>
        </w:rPr>
      </w:pPr>
    </w:p>
    <w:p>
      <w:pPr>
        <w:jc w:val="both"/>
        <w:ind w:left="1800" w:right="419" w:hanging="180"/>
        <w:spacing w:after="0" w:line="267"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Payments made online</w:t>
      </w:r>
      <w:r>
        <w:rPr>
          <w:rFonts w:ascii="Times New Roman" w:cs="Times New Roman" w:eastAsia="Times New Roman" w:hAnsi="Times New Roman"/>
          <w:sz w:val="18"/>
          <w:szCs w:val="18"/>
          <w:color w:val="auto"/>
        </w:rPr>
        <w:t>. We facilitate online management of diverse service fees from our franchise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across various business scenarios, enhancing the efficiency of payment processing and funds flow.</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Effectively Managed Franchise Model Empowering Franchise Partners</w:t>
      </w:r>
    </w:p>
    <w:p>
      <w:pPr>
        <w:spacing w:after="0" w:line="14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leverage an extensive, growing franchise network to achieve rapid expansion in China and overseas markets. As of December 31, 2024, we had 6,440 CHAGEE teahouses. Of this extensive teahouse network, 6,271 are franchised and 169 are company-owned. We directly manage a total of 398 teahouses, including all of our company-owned teahouses and 229 franchised teahouses.</w:t>
      </w:r>
    </w:p>
    <w:p>
      <w:pPr>
        <w:spacing w:after="0" w:line="11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employ a “managed franchise model” with strong oversight to help our franchise partners succeed. To achieve this, we have dedicated local support teams in 32 provinces, municipalities, and autonomous regions across China to provide comprehensive and timely on-site support to franchise partners. Whenever we enter into a new market, we always start with our company-owned teahouses to accumulate sufficient local operational experience before engaging local franchise partners.</w:t>
      </w:r>
    </w:p>
    <w:p>
      <w:pPr>
        <w:spacing w:after="0" w:line="11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support of franchise partners covers every major part of teahouse management, from site selection to store renovation, and from supply chain management to back-end e-commerce operations. For example, we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have established a two-tiered warehousing system with separate centralized and regional warehouses to achieve higher efficiency and lower costs in storage and logistics. With warehousing services available in 37 locations across China, we are able to provide cold chain transportation and next-day delivery within our teahouse network in China. With minimal capital expenditures, we have established a highly efficient logistics system, resulting in our logistics costs accounting for less than one percent of our total GMV generated in China and overseas in 2024. During the same period, our inventory turnover days were approximately 5.3 days, representing the lowest figure among all freshly-made tea drinks brands with over 1,000 stores in China, according to iResearch. We digitize business processes online, achieving smart store operations, automated replenishment, and integrated oversight across all teahouses, whether franchised or company-owned.</w:t>
      </w:r>
    </w:p>
    <w:p>
      <w:pPr>
        <w:spacing w:after="0" w:line="337"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expansive franchise network, combined with our strong oversight management approach, enables us to expand rapidly while achieving healthy and sustainable operating results. We are continuously optimizing our franchise model, implementing meticulous control measures to empower franchise partners. We believe that our “managed franchise model” enables us to build mutually beneficial relationship with our franchise partners. This model allows us to achieve rapid expansion with consistent excellence in products and services. Simultaneously, our franchise partners benefit from our comprehensive support and management, enabling them to uphold our shared brand values and effectively communicate them to our consumers. As a result, approximately 0.5% and 1.5% of franchised teahouses closed in 2023 and 2024, among which the majority were closures mandated by us due to franchise partners failing to meet our stringent evaluation criteria.</w:t>
      </w:r>
    </w:p>
    <w:p>
      <w:pPr>
        <w:spacing w:after="0" w:line="400" w:lineRule="exact"/>
        <w:rPr>
          <w:sz w:val="20"/>
          <w:szCs w:val="20"/>
          <w:color w:val="auto"/>
        </w:rPr>
      </w:pPr>
    </w:p>
    <w:p>
      <w:pPr>
        <w:ind w:left="1260" w:right="599"/>
        <w:spacing w:after="0" w:line="286" w:lineRule="auto"/>
        <w:rPr>
          <w:sz w:val="20"/>
          <w:szCs w:val="20"/>
          <w:color w:val="auto"/>
        </w:rPr>
      </w:pPr>
      <w:r>
        <w:rPr>
          <w:rFonts w:ascii="Times New Roman" w:cs="Times New Roman" w:eastAsia="Times New Roman" w:hAnsi="Times New Roman"/>
          <w:sz w:val="18"/>
          <w:szCs w:val="18"/>
          <w:b w:val="1"/>
          <w:bCs w:val="1"/>
          <w:color w:val="auto"/>
        </w:rPr>
        <w:t>OUR GROWTH STRATEGIES — Continuously Modernizing Tea Drinks with the Power of Technology and Brand to Connect People and Cultures</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Expanding Teahouse Network in China and Overseas</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will continue to expand our teahouse network in China, implementing a tiered management approach based on city tier and operating model. We believe that our effective “managed franchise model” with strong oversight will allow us to rapidly scale our business, ensuring both speed and quality in our growth trajectory. In addition to our domestic expansion, we are committed to making CHAGEE a global premium freshly-made tea drinks brand. We will pursue opportunities to expand in selected overseas markets by drawing upon our initial success in Southeast Asia.</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Continuing to Elevate Brand Value</w:t>
      </w:r>
    </w:p>
    <w:p>
      <w:pPr>
        <w:spacing w:after="0" w:line="148"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are dedicated to establishing a distinguished global brand that champions a healthy lifestyle and fosters connections among people and cultures around the world. To achieve this, we plan to craft healthier tea drinks, provide an enhanced and modernized tea-drinking experience, extend our teahouse network, cultivate brand cultures, and uphold corporate responsibility and sustainable development. Through these initiatives, we aim to strengthen our bond with consumers across diverse geographies and demographics, ultimately elevating brand value and fostering lasting consumer loyalty.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Enhancing Global Supply Chain Capabilities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believe that modernizing the upstream supply chain is an indispensable part of our mission to modernize the tea-drinking experience. To this end, we will continue to strengthen our upstream supply chain capabilities to enhance operational efficiency and profitability. In addition, we intend to refine our global warehouse network to efficiently address all supply scenarios and minimize logistics costs.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Investing in Technology to Continuously Improve Automation, Standardization and Digitalization Capabilities</w:t>
      </w:r>
    </w:p>
    <w:p>
      <w:pPr>
        <w:spacing w:after="0" w:line="173"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will continue to invest in technology to enhance our automation, standardization and digitalization capabilities to empower our business operations across all dimensions. We are focusing on using automation and smart technologies to enhance store operations, supply chain management and middle- and back-office functions. For example, we will build upon our existing automated tea-making machines to invest in the technical development and iteration of automation equipment. Our goal is to consistently enhance the quality, flavor, and stability of freshly-made tea drinks produced in our teahouses. This will ensure that every consumer receives products and services that are not only of higher quality, but also promote better health and offer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increased convenience. At the same time, these technology investments will further enhance our teahouses’ operational efficiency.</w:t>
      </w:r>
    </w:p>
    <w:p>
      <w:pPr>
        <w:spacing w:after="0" w:line="8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believe that our continuous investment in tea-related technologies will enable us to make both better tea and better strategic and management decisions for the benefit of our consumers, employees and franchise partners, ultimately contributing to our long-term profit growth.</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CHAGEE PRODUCT FAMILY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Menu</w:t>
      </w:r>
    </w:p>
    <w:p>
      <w:pPr>
        <w:spacing w:after="0" w:line="14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focus on the development of iconic products that redefine the modern-day tea-drinking experience and consistently captivate and resonate with our consumers. At CHAGEE, consumers are indulging in this quintessential modern-day tea-drinking experience with our curated selection of freshly- made tea drinks. Our products are known for their authentic taste of fresh, premium tea, making every sip a bliss to all tea lovers. The following diagram illustrates our core menu.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98425</wp:posOffset>
            </wp:positionV>
            <wp:extent cx="4551680" cy="44919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551680" cy="449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Signature tea latte</w:t>
      </w:r>
      <w:r>
        <w:rPr>
          <w:rFonts w:ascii="Times New Roman" w:cs="Times New Roman" w:eastAsia="Times New Roman" w:hAnsi="Times New Roman"/>
          <w:sz w:val="18"/>
          <w:szCs w:val="18"/>
          <w:color w:val="auto"/>
        </w:rPr>
        <w:t>. According to iResearch, we are the first brand in China’s premium freshly-made tea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drinks industry to create the tea latte category, establishing ourselves as a trailblazer within our industry. Seven choices of tea latte crafted from fine tea leaves and creamy steamed milk make up our core product offering, which is a comforting treat for any time of day. Similar to coffee latte, our expertly brewed tea provides a perfect balance of flavor, enhanced by the delightful taste with the smooth and velvety texture of premium steamed milk. Different tea bases are at consumers’ choice to suit everyone’s taste buds. For example,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i w:val="1"/>
          <w:iCs w:val="1"/>
          <w:color w:val="auto"/>
        </w:rPr>
        <w:t>Jasmine Green Tea Latte</w:t>
      </w:r>
      <w:r>
        <w:rPr>
          <w:rFonts w:ascii="Times New Roman" w:cs="Times New Roman" w:eastAsia="Times New Roman" w:hAnsi="Times New Roman"/>
          <w:sz w:val="18"/>
          <w:szCs w:val="18"/>
          <w:color w:val="auto"/>
        </w:rPr>
        <w:t>, our signature tea latte product, has garnered immense and continuously growing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popularity among our consumers. We use a premium jasmine green tea sourced from Hengxian, China, the renowned hometown of jasmine tea in China, to create a smooth, soft and subtle earthy tone favored by consumers of different age groups. Between January 1, 2021 and August 13, 2024, over 600 million cups of </w:t>
      </w:r>
      <w:r>
        <w:rPr>
          <w:rFonts w:ascii="Times New Roman" w:cs="Times New Roman" w:eastAsia="Times New Roman" w:hAnsi="Times New Roman"/>
          <w:sz w:val="18"/>
          <w:szCs w:val="18"/>
          <w:i w:val="1"/>
          <w:iCs w:val="1"/>
          <w:color w:val="auto"/>
        </w:rPr>
        <w:t xml:space="preserve">Jasmine Green Tea Latte </w:t>
      </w:r>
      <w:r>
        <w:rPr>
          <w:rFonts w:ascii="Times New Roman" w:cs="Times New Roman" w:eastAsia="Times New Roman" w:hAnsi="Times New Roman"/>
          <w:sz w:val="18"/>
          <w:szCs w:val="18"/>
          <w:color w:val="auto"/>
        </w:rPr>
        <w:t>have been sold through our teahouse network, as certified by Frost &amp; Sullivan.</w:t>
      </w:r>
    </w:p>
    <w:p>
      <w:pPr>
        <w:spacing w:after="0" w:line="107" w:lineRule="exact"/>
        <w:rPr>
          <w:sz w:val="20"/>
          <w:szCs w:val="20"/>
          <w:color w:val="auto"/>
        </w:rPr>
      </w:pPr>
    </w:p>
    <w:p>
      <w:pPr>
        <w:jc w:val="both"/>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Through a simple yet harmonious blend of premium tea and fresh milk, our tea latte product family appeals to a wide range of consumers, especially those who adore the pureness and simplicity of flavors that linger long after every sip. All of our top three best-selling tea drinks in terms of GMV generated in China and overseas in 2022, 2023 and 2024 are tea latte products. Below pictures illustrate some of our best-selling tea drinks currently served on our menu.</w:t>
      </w:r>
    </w:p>
    <w:p>
      <w:pPr>
        <w:spacing w:after="0" w:line="143" w:lineRule="exact"/>
        <w:rPr>
          <w:sz w:val="20"/>
          <w:szCs w:val="20"/>
          <w:color w:val="auto"/>
        </w:rPr>
      </w:pPr>
    </w:p>
    <w:p>
      <w:pPr>
        <w:jc w:val="both"/>
        <w:ind w:left="1260"/>
        <w:spacing w:after="0"/>
        <w:tabs>
          <w:tab w:leader="none" w:pos="3880" w:val="left"/>
          <w:tab w:leader="none" w:pos="6700" w:val="left"/>
          <w:tab w:leader="none" w:pos="944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i w:val="1"/>
          <w:iCs w:val="1"/>
          <w:color w:val="auto"/>
        </w:rPr>
        <w:t>​ ​</w:t>
      </w:r>
      <w:r>
        <w:rPr>
          <w:sz w:val="20"/>
          <w:szCs w:val="20"/>
          <w:color w:val="auto"/>
        </w:rPr>
        <w:tab/>
      </w:r>
      <w:r>
        <w:rPr>
          <w:rFonts w:ascii="Times New Roman" w:cs="Times New Roman" w:eastAsia="Times New Roman" w:hAnsi="Times New Roman"/>
          <w:sz w:val="18"/>
          <w:szCs w:val="18"/>
          <w:i w:val="1"/>
          <w:iCs w:val="1"/>
          <w:color w:val="auto"/>
        </w:rPr>
        <w:t>​ ​</w:t>
      </w:r>
      <w:r>
        <w:rPr>
          <w:sz w:val="20"/>
          <w:szCs w:val="20"/>
          <w:color w:val="auto"/>
        </w:rPr>
        <w:tab/>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-118110</wp:posOffset>
            </wp:positionV>
            <wp:extent cx="5212080" cy="23660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21208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1260"/>
        <w:spacing w:after="0"/>
        <w:tabs>
          <w:tab w:leader="none" w:pos="1600" w:val="left"/>
          <w:tab w:leader="none" w:pos="3880" w:val="left"/>
          <w:tab w:leader="none" w:pos="4240" w:val="left"/>
          <w:tab w:leader="none" w:pos="6700" w:val="left"/>
          <w:tab w:leader="none" w:pos="7280" w:val="left"/>
          <w:tab w:leader="none" w:pos="9440" w:val="left"/>
        </w:tabs>
        <w:rPr>
          <w:sz w:val="20"/>
          <w:szCs w:val="20"/>
          <w:color w:val="auto"/>
        </w:rPr>
      </w:pPr>
      <w:r>
        <w:rPr>
          <w:rFonts w:ascii="Times New Roman" w:cs="Times New Roman" w:eastAsia="Times New Roman" w:hAnsi="Times New Roman"/>
          <w:sz w:val="36"/>
          <w:szCs w:val="36"/>
          <w:i w:val="1"/>
          <w:iCs w:val="1"/>
          <w:color w:val="auto"/>
          <w:vertAlign w:val="superscript"/>
        </w:rPr>
        <w:t>​</w:t>
      </w:r>
      <w:r>
        <w:rPr>
          <w:sz w:val="20"/>
          <w:szCs w:val="20"/>
          <w:color w:val="auto"/>
        </w:rPr>
        <w:tab/>
      </w:r>
      <w:r>
        <w:rPr>
          <w:rFonts w:ascii="Times New Roman" w:cs="Times New Roman" w:eastAsia="Times New Roman" w:hAnsi="Times New Roman"/>
          <w:sz w:val="18"/>
          <w:szCs w:val="18"/>
          <w:i w:val="1"/>
          <w:iCs w:val="1"/>
          <w:color w:val="auto"/>
        </w:rPr>
        <w:t>Jasmine Green Tea Latte</w:t>
      </w:r>
      <w:r>
        <w:rPr>
          <w:sz w:val="20"/>
          <w:szCs w:val="20"/>
          <w:color w:val="auto"/>
        </w:rPr>
        <w:tab/>
      </w:r>
      <w:r>
        <w:rPr>
          <w:rFonts w:ascii="Times New Roman" w:cs="Times New Roman" w:eastAsia="Times New Roman" w:hAnsi="Times New Roman"/>
          <w:sz w:val="36"/>
          <w:szCs w:val="36"/>
          <w:i w:val="1"/>
          <w:iCs w:val="1"/>
          <w:color w:val="auto"/>
          <w:vertAlign w:val="superscript"/>
        </w:rPr>
        <w:t>​ ​</w:t>
      </w:r>
      <w:r>
        <w:rPr>
          <w:sz w:val="20"/>
          <w:szCs w:val="20"/>
          <w:color w:val="auto"/>
        </w:rPr>
        <w:tab/>
      </w:r>
      <w:r>
        <w:rPr>
          <w:rFonts w:ascii="Times New Roman" w:cs="Times New Roman" w:eastAsia="Times New Roman" w:hAnsi="Times New Roman"/>
          <w:sz w:val="18"/>
          <w:szCs w:val="18"/>
          <w:i w:val="1"/>
          <w:iCs w:val="1"/>
          <w:color w:val="auto"/>
        </w:rPr>
        <w:t>Osmanthus Oolong Tea Latte</w:t>
      </w:r>
      <w:r>
        <w:rPr>
          <w:sz w:val="20"/>
          <w:szCs w:val="20"/>
          <w:color w:val="auto"/>
        </w:rPr>
        <w:tab/>
      </w:r>
      <w:r>
        <w:rPr>
          <w:rFonts w:ascii="Times New Roman" w:cs="Times New Roman" w:eastAsia="Times New Roman" w:hAnsi="Times New Roman"/>
          <w:sz w:val="36"/>
          <w:szCs w:val="36"/>
          <w:i w:val="1"/>
          <w:iCs w:val="1"/>
          <w:color w:val="auto"/>
          <w:vertAlign w:val="superscript"/>
        </w:rPr>
        <w:t>​ ​</w:t>
      </w:r>
      <w:r>
        <w:rPr>
          <w:sz w:val="20"/>
          <w:szCs w:val="20"/>
          <w:color w:val="auto"/>
        </w:rPr>
        <w:tab/>
      </w:r>
      <w:r>
        <w:rPr>
          <w:rFonts w:ascii="Times New Roman" w:cs="Times New Roman" w:eastAsia="Times New Roman" w:hAnsi="Times New Roman"/>
          <w:sz w:val="18"/>
          <w:szCs w:val="18"/>
          <w:i w:val="1"/>
          <w:iCs w:val="1"/>
          <w:color w:val="auto"/>
        </w:rPr>
        <w:t>Ceylon Black Tea Latte</w:t>
      </w:r>
      <w:r>
        <w:rPr>
          <w:sz w:val="20"/>
          <w:szCs w:val="20"/>
          <w:color w:val="auto"/>
        </w:rPr>
        <w:tab/>
      </w:r>
      <w:r>
        <w:rPr>
          <w:rFonts w:ascii="Times New Roman" w:cs="Times New Roman" w:eastAsia="Times New Roman" w:hAnsi="Times New Roman"/>
          <w:sz w:val="36"/>
          <w:szCs w:val="36"/>
          <w:i w:val="1"/>
          <w:iCs w:val="1"/>
          <w:color w:val="auto"/>
          <w:vertAlign w:val="superscript"/>
        </w:rPr>
        <w:t>​</w:t>
      </w:r>
    </w:p>
    <w:p>
      <w:pPr>
        <w:spacing w:after="0" w:line="27"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Teapuccino</w:t>
      </w:r>
      <w:r>
        <w:rPr>
          <w:rFonts w:ascii="Times New Roman" w:cs="Times New Roman" w:eastAsia="Times New Roman" w:hAnsi="Times New Roman"/>
          <w:sz w:val="18"/>
          <w:szCs w:val="18"/>
          <w:color w:val="auto"/>
        </w:rPr>
        <w:t>. We blend various flavors of tea with fresh milk, and then top it off with a velvety layer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whipped cream to make our creative teapuccinos. To elevate the indulgence, we also offer consumers the option to transform their teapuccinos into refreshing frappes with the addition of ice. This playful twist adds an element of fun and diversity to our menu, ensuring delightful consumer experience. Below pictures illustrate our teapuccino products.</w:t>
      </w:r>
    </w:p>
    <w:p>
      <w:pPr>
        <w:spacing w:after="0" w:line="149" w:lineRule="exact"/>
        <w:rPr>
          <w:sz w:val="20"/>
          <w:szCs w:val="20"/>
          <w:color w:val="auto"/>
        </w:rPr>
      </w:pPr>
    </w:p>
    <w:p>
      <w:pPr>
        <w:ind w:left="1800"/>
        <w:spacing w:after="0"/>
        <w:tabs>
          <w:tab w:leader="none" w:pos="5300" w:val="left"/>
          <w:tab w:leader="none" w:pos="890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i w:val="1"/>
          <w:iCs w:val="1"/>
          <w:color w:val="auto"/>
        </w:rPr>
        <w:t>​ ​</w:t>
      </w:r>
      <w:r>
        <w:rPr>
          <w:sz w:val="20"/>
          <w:szCs w:val="20"/>
          <w:color w:val="auto"/>
        </w:rPr>
        <w:tab/>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1503045</wp:posOffset>
            </wp:positionH>
            <wp:positionV relativeFrom="paragraph">
              <wp:posOffset>-118110</wp:posOffset>
            </wp:positionV>
            <wp:extent cx="3814445" cy="21342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1444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0"/>
        <w:spacing w:after="0"/>
        <w:tabs>
          <w:tab w:leader="none" w:pos="2320" w:val="left"/>
          <w:tab w:leader="none" w:pos="5300" w:val="left"/>
          <w:tab w:leader="none" w:pos="6200" w:val="left"/>
          <w:tab w:leader="none" w:pos="8900" w:val="left"/>
        </w:tabs>
        <w:rPr>
          <w:sz w:val="20"/>
          <w:szCs w:val="20"/>
          <w:color w:val="auto"/>
        </w:rPr>
      </w:pPr>
      <w:r>
        <w:rPr>
          <w:rFonts w:ascii="Times New Roman" w:cs="Times New Roman" w:eastAsia="Times New Roman" w:hAnsi="Times New Roman"/>
          <w:sz w:val="36"/>
          <w:szCs w:val="36"/>
          <w:i w:val="1"/>
          <w:iCs w:val="1"/>
          <w:color w:val="auto"/>
          <w:vertAlign w:val="superscript"/>
        </w:rPr>
        <w:t>​</w:t>
      </w:r>
      <w:r>
        <w:rPr>
          <w:sz w:val="20"/>
          <w:szCs w:val="20"/>
          <w:color w:val="auto"/>
        </w:rPr>
        <w:tab/>
      </w:r>
      <w:r>
        <w:rPr>
          <w:rFonts w:ascii="Times New Roman" w:cs="Times New Roman" w:eastAsia="Times New Roman" w:hAnsi="Times New Roman"/>
          <w:sz w:val="18"/>
          <w:szCs w:val="18"/>
          <w:i w:val="1"/>
          <w:iCs w:val="1"/>
          <w:color w:val="auto"/>
        </w:rPr>
        <w:t>Osmanthus Oolong Teapuccino</w:t>
      </w:r>
      <w:r>
        <w:rPr>
          <w:sz w:val="20"/>
          <w:szCs w:val="20"/>
          <w:color w:val="auto"/>
        </w:rPr>
        <w:tab/>
      </w:r>
      <w:r>
        <w:rPr>
          <w:rFonts w:ascii="Times New Roman" w:cs="Times New Roman" w:eastAsia="Times New Roman" w:hAnsi="Times New Roman"/>
          <w:sz w:val="36"/>
          <w:szCs w:val="36"/>
          <w:i w:val="1"/>
          <w:iCs w:val="1"/>
          <w:color w:val="auto"/>
          <w:vertAlign w:val="superscript"/>
        </w:rPr>
        <w:t>​ ​</w:t>
      </w:r>
      <w:r>
        <w:rPr>
          <w:sz w:val="20"/>
          <w:szCs w:val="20"/>
          <w:color w:val="auto"/>
        </w:rPr>
        <w:tab/>
      </w:r>
      <w:r>
        <w:rPr>
          <w:rFonts w:ascii="Times New Roman" w:cs="Times New Roman" w:eastAsia="Times New Roman" w:hAnsi="Times New Roman"/>
          <w:sz w:val="18"/>
          <w:szCs w:val="18"/>
          <w:i w:val="1"/>
          <w:iCs w:val="1"/>
          <w:color w:val="auto"/>
        </w:rPr>
        <w:t>Da Hong Pao Teapuccino</w:t>
      </w:r>
      <w:r>
        <w:rPr>
          <w:sz w:val="20"/>
          <w:szCs w:val="20"/>
          <w:color w:val="auto"/>
        </w:rPr>
        <w:tab/>
      </w:r>
      <w:r>
        <w:rPr>
          <w:rFonts w:ascii="Times New Roman" w:cs="Times New Roman" w:eastAsia="Times New Roman" w:hAnsi="Times New Roman"/>
          <w:sz w:val="36"/>
          <w:szCs w:val="36"/>
          <w:i w:val="1"/>
          <w:iCs w:val="1"/>
          <w:color w:val="auto"/>
          <w:vertAlign w:val="superscript"/>
        </w:rPr>
        <w:t>​</w:t>
      </w:r>
    </w:p>
    <w:p>
      <w:pPr>
        <w:spacing w:after="0" w:line="2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firstLine="3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Iced oriental tea</w:t>
      </w:r>
      <w:r>
        <w:rPr>
          <w:rFonts w:ascii="Times New Roman" w:cs="Times New Roman" w:eastAsia="Times New Roman" w:hAnsi="Times New Roman"/>
          <w:sz w:val="18"/>
          <w:szCs w:val="18"/>
          <w:color w:val="auto"/>
        </w:rPr>
        <w:t>. For pure tea fans, our iced oriental tea collection offers a sensory journey with five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exquisite flavors: </w:t>
      </w:r>
      <w:r>
        <w:rPr>
          <w:rFonts w:ascii="Times New Roman" w:cs="Times New Roman" w:eastAsia="Times New Roman" w:hAnsi="Times New Roman"/>
          <w:sz w:val="18"/>
          <w:szCs w:val="18"/>
          <w:i w:val="1"/>
          <w:iCs w:val="1"/>
          <w:color w:val="auto"/>
        </w:rPr>
        <w:t>Jasmine Green Tea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Mandarin Orange Pu’er Tea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Glutinous Green Tea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Osmanthus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Oolong Tea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Jin Guan Yin Oolong Tea</w:t>
      </w:r>
      <w:r>
        <w:rPr>
          <w:rFonts w:ascii="Times New Roman" w:cs="Times New Roman" w:eastAsia="Times New Roman" w:hAnsi="Times New Roman"/>
          <w:sz w:val="18"/>
          <w:szCs w:val="18"/>
          <w:color w:val="auto"/>
        </w:rPr>
        <w:t>. To ensure the purest tea experience, we carefully steep premium,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natural tea leaves in our fully-automated tea brewer. This innovative machine meticulously monitors multiple water quality parameters, optimizing the infusion process to extract the full flavors from the tea leaves. To add a refreshing touch, we use our express chill iced tea maker to cool the brewed tea base, ensuring that each sip delivers a perfectly chilled sensation. To preserve the captivating aroma of our iced oriental teas, we serve them in elegant glass bottles, creating a delightful visual and sensory experience. Below pictures illustrate our iced oriental teas.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1322705</wp:posOffset>
            </wp:positionH>
            <wp:positionV relativeFrom="paragraph">
              <wp:posOffset>250190</wp:posOffset>
            </wp:positionV>
            <wp:extent cx="4166235" cy="26835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166235" cy="268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Teaspresso</w:t>
      </w:r>
      <w:r>
        <w:rPr>
          <w:rFonts w:ascii="Times New Roman" w:cs="Times New Roman" w:eastAsia="Times New Roman" w:hAnsi="Times New Roman"/>
          <w:sz w:val="18"/>
          <w:szCs w:val="18"/>
          <w:color w:val="auto"/>
        </w:rPr>
        <w:t>. Inspired by coffee espresso, we unveiled our latest creation: the innovative teaspresso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series. Using advanced teaspresso-making machines, we harness the power of pressurized hot water coursing through finely ground tea to extract concentrate, resulting in a rich and intense tea flavor. Consumers delight in the full-bodied flavors of our tea latte and tea frappe crafted with our teaspresso. Below is an illustrative image capturing the tea extraction process carried out by our automated teaspresso-making machine.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257810</wp:posOffset>
            </wp:positionV>
            <wp:extent cx="2777490" cy="18516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77749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260" w:right="419" w:firstLine="360"/>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Other creative tea drinks</w:t>
      </w:r>
      <w:r>
        <w:rPr>
          <w:rFonts w:ascii="Times New Roman" w:cs="Times New Roman" w:eastAsia="Times New Roman" w:hAnsi="Times New Roman"/>
          <w:sz w:val="18"/>
          <w:szCs w:val="18"/>
          <w:color w:val="auto"/>
        </w:rPr>
        <w:t>. As a complement, we also offer a range of specialty tea drinks available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regional markets, such as vitality fruit teas, catering to consumers’ varying preferences across geographies.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We Develop Our Products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Our passion for crafting refreshing, healthy and tasteful tea drinks is reflected in our expanding product family, which is designed to cater to the diversified tastes and preferences of our consumers in China and overseas. Product and menu development and innovation are essential to our success, and we are constantly exploring new ideas and technologies to bring consumers the very best in tea.</w:t>
      </w:r>
    </w:p>
    <w:p>
      <w:pPr>
        <w:spacing w:after="0" w:line="11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product development team consists of over 40 tea experts who are constantly exploring new flavor combinations, experimenting with innovative brewing techniques, and sourcing the highest quality ingredients to ensure that our products stand out from the crowd.</w:t>
      </w:r>
    </w:p>
    <w:p>
      <w:pPr>
        <w:spacing w:after="0" w:line="95"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Our tea drink recipes are meticulously curated to cater to the discerning palates of our consumers. This is achieved through a comprehensive process that involves extensive market research, advanced analysis of consumer consumption patterns and scenarios, and a deep understanding of prevailing industry trends. To bring forth innovative products, we embark on multiple rounds of test blending, relentlessly pairing premium Chinese tea bases with fresh milk and other high-quality ingredients to discover the perfect combination.</w:t>
      </w:r>
    </w:p>
    <w:p>
      <w:pPr>
        <w:spacing w:after="0" w:line="336"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Before introducing a new product, we subject the product to rigorous internal and external sample testing, gathering real-time feedback from both our employees and consumers. These feedbacks help us fine-tune the recipes, ensuring optimal taste and texture. Once the plan receives final approval, we rely on the support of our robust supply chain center to ensure a stable supply of essential ingredients for the new offering.</w:t>
      </w:r>
    </w:p>
    <w:p>
      <w:pPr>
        <w:spacing w:after="0" w:line="335"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Furthermore, we leverage the expertise of our in-house branding and marketing professionals to develop a holistic promotion plan for the new product, while working closely with our operational center to create standardization manuals and employee training courses, preparing all fronts for the seamless launch of the new addition to our CHAGEE product family.</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chart below outlines our new product launch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5212080" cy="1689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12080" cy="168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With 14, 22 and 15 new products launched in 2022, 2023, and 2024, respectively, we are proud of our ability to continue to innovate. In addition, we continuously enhance the recipes of our existing tea drinks, ensuring that their flavors and textures consistently captivate and delight our consumers. For example, our beloved signature tea latte, </w:t>
      </w:r>
      <w:r>
        <w:rPr>
          <w:rFonts w:ascii="Times New Roman" w:cs="Times New Roman" w:eastAsia="Times New Roman" w:hAnsi="Times New Roman"/>
          <w:sz w:val="18"/>
          <w:szCs w:val="18"/>
          <w:i w:val="1"/>
          <w:iCs w:val="1"/>
          <w:color w:val="auto"/>
        </w:rPr>
        <w:t>Jasmine Green Tea Latte</w:t>
      </w:r>
      <w:r>
        <w:rPr>
          <w:rFonts w:ascii="Times New Roman" w:cs="Times New Roman" w:eastAsia="Times New Roman" w:hAnsi="Times New Roman"/>
          <w:sz w:val="18"/>
          <w:szCs w:val="18"/>
          <w:color w:val="auto"/>
        </w:rPr>
        <w:t>, has undergone over ten rounds of meticulous upgrades, each aimed at refining its taste and elevating the tea-drinking experience it delivers.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CHAGEE TEAHOUSE NETWORK</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Rapidly Growing Teahouse Network</w:t>
      </w:r>
    </w:p>
    <w:p>
      <w:pPr>
        <w:spacing w:after="0" w:line="9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opened the first CHAGEE teahouse in Yunnan, China in November 2017, and have since expanded our teahouse network rapidly in China and globally. As of December 31, 2024, we had 6,440 CHAGEE teahouses within our network, including 6,284 teahouses covering 32 out of 34 province-level divisions across China and 156 teahouses overseas, making us the largest premium freshly-made tea drinks brand in China in terms of the number of stores in China as of December 31, 2024 according to iResearch.</w:t>
      </w:r>
    </w:p>
    <w:p>
      <w:pPr>
        <w:spacing w:after="0" w:line="10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Originating from Yunnan, we embarked on a journey to expand our brand presence into neighboring regions within Southwestern China, encompassing vibrant markets such as Sichuan and Guizhou. Today,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while Southwestern China continues to serve an important market, we have successfully deployed a nationwide network of teahouses, spreading the spirit of joy-filled tea cups to our consumers throughout China. According to iResearch, CHAGEE has become the largest premium freshly-made tea drinks brand in China, in terms of the number of stores in China as of December 31, 2024. Our CHAGEE teahouses in China are mainly located in the most economically dynamic regions, particularly in the new tier-1 cities and tier-2 cities, where consumer demand for our products is strong and growing. The following table sets out a breakdown of CHAGEE teahouses by geographic location as of the dates indicated.</w:t>
      </w:r>
    </w:p>
    <w:p>
      <w:pPr>
        <w:sectPr>
          <w:pgSz w:w="11900" w:h="16838" w:orient="portrait"/>
          <w:cols w:equalWidth="0" w:num="1">
            <w:col w:w="9879"/>
          </w:cols>
          <w:pgMar w:left="580" w:top="97" w:right="1440" w:bottom="1440" w:gutter="0" w:footer="0" w:header="0"/>
        </w:sectPr>
      </w:pP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Number of teahouses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China (by region)</w:t>
      </w:r>
    </w:p>
    <w:p>
      <w:pPr>
        <w:spacing w:after="0" w:line="5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Southwestern China</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Eastern China</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Central China</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Southern China</w:t>
      </w:r>
    </w:p>
    <w:p>
      <w:pPr>
        <w:spacing w:after="0" w:line="3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regions in China</w:t>
      </w:r>
      <w:r>
        <w:rPr>
          <w:rFonts w:ascii="Times New Roman" w:cs="Times New Roman" w:eastAsia="Times New Roman" w:hAnsi="Times New Roman"/>
          <w:sz w:val="23"/>
          <w:szCs w:val="23"/>
          <w:color w:val="auto"/>
          <w:vertAlign w:val="superscript"/>
        </w:rPr>
        <w:t>(1)</w:t>
      </w:r>
    </w:p>
    <w:p>
      <w:pPr>
        <w:spacing w:after="0" w:line="4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Sub-total</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China (by city tier)</w:t>
      </w:r>
    </w:p>
    <w:p>
      <w:pPr>
        <w:spacing w:after="0" w:line="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Tier-1 cities</w:t>
      </w:r>
      <w:r>
        <w:rPr>
          <w:rFonts w:ascii="Times New Roman" w:cs="Times New Roman" w:eastAsia="Times New Roman" w:hAnsi="Times New Roman"/>
          <w:sz w:val="23"/>
          <w:szCs w:val="23"/>
          <w:color w:val="auto"/>
          <w:vertAlign w:val="superscript"/>
        </w:rPr>
        <w:t>(2)</w:t>
      </w:r>
    </w:p>
    <w:p>
      <w:pPr>
        <w:spacing w:after="0" w:line="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New tier-1 and tier- 2 cities</w:t>
      </w:r>
      <w:r>
        <w:rPr>
          <w:rFonts w:ascii="Times New Roman" w:cs="Times New Roman" w:eastAsia="Times New Roman" w:hAnsi="Times New Roman"/>
          <w:sz w:val="23"/>
          <w:szCs w:val="23"/>
          <w:color w:val="auto"/>
          <w:vertAlign w:val="superscript"/>
        </w:rPr>
        <w:t>(3)</w:t>
      </w:r>
    </w:p>
    <w:p>
      <w:pPr>
        <w:spacing w:after="0" w:line="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cities</w:t>
      </w:r>
      <w:r>
        <w:rPr>
          <w:rFonts w:ascii="Times New Roman" w:cs="Times New Roman" w:eastAsia="Times New Roman" w:hAnsi="Times New Roman"/>
          <w:sz w:val="23"/>
          <w:szCs w:val="23"/>
          <w:color w:val="auto"/>
          <w:vertAlign w:val="superscript"/>
        </w:rPr>
        <w:t>(4)</w:t>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Sub-total</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Overseas locations</w:t>
      </w:r>
    </w:p>
    <w:p>
      <w:pPr>
        <w:spacing w:after="0" w:line="5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Malaysia</w:t>
      </w:r>
    </w:p>
    <w:p>
      <w:pPr>
        <w:spacing w:after="0" w:line="3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Singapore</w:t>
      </w:r>
      <w:r>
        <w:rPr>
          <w:rFonts w:ascii="Times New Roman" w:cs="Times New Roman" w:eastAsia="Times New Roman" w:hAnsi="Times New Roman"/>
          <w:sz w:val="23"/>
          <w:szCs w:val="23"/>
          <w:color w:val="auto"/>
          <w:vertAlign w:val="superscript"/>
        </w:rPr>
        <w:t>(5)</w:t>
      </w:r>
    </w:p>
    <w:p>
      <w:pPr>
        <w:spacing w:after="0" w:line="4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Thailand</w:t>
      </w:r>
    </w:p>
    <w:p>
      <w:pPr>
        <w:spacing w:after="0" w:line="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Sub-total</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97155</wp:posOffset>
            </wp:positionV>
            <wp:extent cx="123444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As of December 31,</w:t>
            </w: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4"/>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2021 </w:t>
            </w:r>
            <w:r>
              <w:rPr>
                <w:rFonts w:ascii="Times New Roman" w:cs="Times New Roman" w:eastAsia="Times New Roman" w:hAnsi="Times New Roman"/>
                <w:sz w:val="27"/>
                <w:szCs w:val="27"/>
                <w:b w:val="1"/>
                <w:bCs w:val="1"/>
                <w:color w:val="auto"/>
                <w:vertAlign w:val="subscript"/>
              </w:rPr>
              <w:t>​ ​</w:t>
            </w:r>
          </w:p>
        </w:tc>
        <w:tc>
          <w:tcPr>
            <w:tcW w:w="64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27"/>
                <w:szCs w:val="27"/>
                <w:b w:val="1"/>
                <w:bCs w:val="1"/>
                <w:color w:val="auto"/>
                <w:vertAlign w:val="subscript"/>
              </w:rPr>
              <w:t>​ ​</w:t>
            </w:r>
          </w:p>
        </w:tc>
        <w:tc>
          <w:tcPr>
            <w:tcW w:w="48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7"/>
                <w:szCs w:val="27"/>
                <w:b w:val="1"/>
                <w:bCs w:val="1"/>
                <w:color w:val="auto"/>
                <w:vertAlign w:val="sub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7"/>
                <w:szCs w:val="27"/>
                <w:b w:val="1"/>
                <w:bCs w:val="1"/>
                <w:color w:val="auto"/>
                <w:vertAlign w:val="subscript"/>
              </w:rPr>
              <w:t>​</w:t>
            </w:r>
          </w:p>
        </w:tc>
      </w:tr>
      <w:tr>
        <w:trPr>
          <w:trHeight w:val="20"/>
        </w:trPr>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2"/>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3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3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4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57"/>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661​​ ​​1,108​​</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57"/>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222​​ ​​1,054​​</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​​1,945​</w:t>
            </w:r>
          </w:p>
        </w:tc>
      </w:tr>
      <w:tr>
        <w:trPr>
          <w:trHeight w:val="257"/>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87​​ ​​ 554​​</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57"/>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54​​ ​​ 438​​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48"/>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2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280" w:type="dxa"/>
            <w:vAlign w:val="bottom"/>
          </w:tcPr>
          <w:p>
            <w:pPr>
              <w:jc w:val="right"/>
              <w:spacing w:after="0" w:line="24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112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 262</w:t>
            </w:r>
            <w:r>
              <w:rPr>
                <w:rFonts w:ascii="Times New Roman" w:cs="Times New Roman" w:eastAsia="Times New Roman" w:hAnsi="Times New Roman"/>
                <w:sz w:val="15"/>
                <w:szCs w:val="15"/>
                <w:color w:val="auto"/>
              </w:rPr>
              <w:t>​​</w:t>
            </w:r>
          </w:p>
        </w:tc>
        <w:tc>
          <w:tcPr>
            <w:tcW w:w="56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869</w:t>
            </w:r>
            <w:r>
              <w:rPr>
                <w:rFonts w:ascii="Times New Roman" w:cs="Times New Roman" w:eastAsia="Times New Roman" w:hAnsi="Times New Roman"/>
                <w:sz w:val="28"/>
                <w:szCs w:val="28"/>
                <w:color w:val="auto"/>
                <w:vertAlign w:val="subscript"/>
              </w:rPr>
              <w:t>​</w:t>
            </w:r>
          </w:p>
        </w:tc>
      </w:tr>
      <w:tr>
        <w:trPr>
          <w:trHeight w:val="20"/>
        </w:trPr>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427</w:t>
            </w: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​​1,024​​ ​​3,416​​</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​​6,284​</w:t>
            </w:r>
          </w:p>
        </w:tc>
      </w:tr>
      <w:tr>
        <w:trPr>
          <w:trHeight w:val="364"/>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3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3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83"/>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 ​​ 232​​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79"/>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594​​ ​​1,828​​</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​​3,110​</w:t>
            </w:r>
          </w:p>
        </w:tc>
      </w:tr>
      <w:tr>
        <w:trPr>
          <w:trHeight w:val="248"/>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2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215</w:t>
            </w:r>
          </w:p>
        </w:tc>
        <w:tc>
          <w:tcPr>
            <w:tcW w:w="280" w:type="dxa"/>
            <w:vAlign w:val="bottom"/>
          </w:tcPr>
          <w:p>
            <w:pPr>
              <w:jc w:val="right"/>
              <w:spacing w:after="0" w:line="24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112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401</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​1,356</w:t>
            </w:r>
            <w:r>
              <w:rPr>
                <w:rFonts w:ascii="Times New Roman" w:cs="Times New Roman" w:eastAsia="Times New Roman" w:hAnsi="Times New Roman"/>
                <w:sz w:val="28"/>
                <w:szCs w:val="28"/>
                <w:color w:val="auto"/>
                <w:vertAlign w:val="subscript"/>
              </w:rPr>
              <w:t>​​</w:t>
            </w:r>
          </w:p>
        </w:tc>
        <w:tc>
          <w:tcPr>
            <w:tcW w:w="56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​2,478</w:t>
            </w:r>
            <w:r>
              <w:rPr>
                <w:rFonts w:ascii="Times New Roman" w:cs="Times New Roman" w:eastAsia="Times New Roman" w:hAnsi="Times New Roman"/>
                <w:sz w:val="28"/>
                <w:szCs w:val="28"/>
                <w:color w:val="auto"/>
                <w:vertAlign w:val="subscript"/>
              </w:rPr>
              <w:t>​</w:t>
            </w: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427</w:t>
            </w: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​​1,024​​ ​​3,416​​</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​​6,284​</w:t>
            </w:r>
          </w:p>
        </w:tc>
      </w:tr>
      <w:tr>
        <w:trPr>
          <w:trHeight w:val="360"/>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3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3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61"/>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79"/>
        </w:trPr>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64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48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5"/>
                <w:szCs w:val="15"/>
                <w:color w:val="auto"/>
              </w:rPr>
              <w:t>​​</w:t>
            </w:r>
          </w:p>
        </w:tc>
        <w:tc>
          <w:tcPr>
            <w:tcW w:w="160" w:type="dxa"/>
            <w:vAlign w:val="bottom"/>
          </w:tcPr>
          <w:p>
            <w:pPr>
              <w:jc w:val="right"/>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40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5"/>
                <w:szCs w:val="15"/>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263"/>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20"/>
              <w:spacing w:after="0" w:line="264"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35</w:t>
            </w:r>
          </w:p>
        </w:tc>
        <w:tc>
          <w:tcPr>
            <w:tcW w:w="280" w:type="dxa"/>
            <w:vAlign w:val="bottom"/>
          </w:tcPr>
          <w:p>
            <w:pPr>
              <w:jc w:val="right"/>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64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perscript"/>
              </w:rPr>
              <w:t>63</w:t>
            </w: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48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perscript"/>
              </w:rPr>
              <w:t>95</w:t>
            </w:r>
            <w:r>
              <w:rPr>
                <w:rFonts w:ascii="Times New Roman" w:cs="Times New Roman" w:eastAsia="Times New Roman" w:hAnsi="Times New Roman"/>
                <w:sz w:val="16"/>
                <w:szCs w:val="16"/>
                <w:color w:val="auto"/>
              </w:rPr>
              <w:t>​​</w:t>
            </w:r>
          </w:p>
        </w:tc>
        <w:tc>
          <w:tcPr>
            <w:tcW w:w="56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156</w:t>
            </w:r>
            <w:r>
              <w:rPr>
                <w:rFonts w:ascii="Times New Roman" w:cs="Times New Roman" w:eastAsia="Times New Roman" w:hAnsi="Times New Roman"/>
                <w:sz w:val="30"/>
                <w:szCs w:val="30"/>
                <w:color w:val="auto"/>
                <w:vertAlign w:val="subscript"/>
              </w:rPr>
              <w:t>​</w:t>
            </w: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3"/>
          </w:tcPr>
          <w:p>
            <w:pPr>
              <w:ind w:left="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462</w:t>
            </w:r>
          </w:p>
        </w:tc>
        <w:tc>
          <w:tcPr>
            <w:tcW w:w="1400" w:type="dxa"/>
            <w:vAlign w:val="bottom"/>
            <w:gridSpan w:val="5"/>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​1,087</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​3,511</w:t>
            </w:r>
            <w:r>
              <w:rPr>
                <w:rFonts w:ascii="Times New Roman" w:cs="Times New Roman" w:eastAsia="Times New Roman" w:hAnsi="Times New Roman"/>
                <w:sz w:val="30"/>
                <w:szCs w:val="30"/>
                <w:b w:val="1"/>
                <w:bCs w:val="1"/>
                <w:color w:val="auto"/>
                <w:vertAlign w:val="subscript"/>
              </w:rPr>
              <w:t>​​</w:t>
            </w:r>
          </w:p>
        </w:tc>
        <w:tc>
          <w:tcPr>
            <w:tcW w:w="56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​6,440</w:t>
            </w:r>
            <w:r>
              <w:rPr>
                <w:rFonts w:ascii="Times New Roman" w:cs="Times New Roman" w:eastAsia="Times New Roman" w:hAnsi="Times New Roman"/>
                <w:sz w:val="30"/>
                <w:szCs w:val="30"/>
                <w:b w:val="1"/>
                <w:bCs w:val="1"/>
                <w:color w:val="auto"/>
                <w:vertAlign w:val="subscript"/>
              </w:rPr>
              <w:t>​</w:t>
            </w:r>
          </w:p>
        </w:tc>
      </w:tr>
      <w:tr>
        <w:trPr>
          <w:trHeight w:val="20"/>
        </w:trPr>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-3042285</wp:posOffset>
            </wp:positionV>
            <wp:extent cx="5212080" cy="1631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-2717165</wp:posOffset>
            </wp:positionV>
            <wp:extent cx="5212080" cy="1631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-2047875</wp:posOffset>
            </wp:positionV>
            <wp:extent cx="5212080" cy="2311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212080" cy="23114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-1636395</wp:posOffset>
            </wp:positionV>
            <wp:extent cx="5212080" cy="1797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-882015</wp:posOffset>
            </wp:positionV>
            <wp:extent cx="5212080" cy="1631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-187960</wp:posOffset>
            </wp:positionV>
            <wp:extent cx="5212080" cy="1885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-539115</wp:posOffset>
            </wp:positionV>
            <wp:extent cx="5212080" cy="1797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-1285240</wp:posOffset>
            </wp:positionV>
            <wp:extent cx="5212080" cy="1714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-2390775</wp:posOffset>
            </wp:positionV>
            <wp:extent cx="5212080" cy="1797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-3376930</wp:posOffset>
            </wp:positionV>
            <wp:extent cx="5212080" cy="1714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40" w:space="720"/>
            <w:col w:w="2819"/>
          </w:cols>
          <w:pgMar w:left="580" w:top="97" w:right="1440" w:bottom="1440" w:gutter="0" w:footer="0" w:header="0"/>
          <w:type w:val="continuous"/>
        </w:sectPr>
      </w:pP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i w:val="1"/>
          <w:iCs w:val="1"/>
          <w:color w:val="auto"/>
        </w:rPr>
        <w:t>Notes:</w:t>
      </w:r>
    </w:p>
    <w:p>
      <w:pPr>
        <w:spacing w:after="0" w:line="86" w:lineRule="exact"/>
        <w:rPr>
          <w:sz w:val="20"/>
          <w:szCs w:val="20"/>
          <w:color w:val="auto"/>
        </w:rPr>
      </w:pPr>
    </w:p>
    <w:p>
      <w:pPr>
        <w:ind w:left="1620" w:right="419" w:hanging="360"/>
        <w:spacing w:after="0" w:line="281" w:lineRule="auto"/>
        <w:tabs>
          <w:tab w:leader="none" w:pos="16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Refers to other regions in China except Southwestern China, Eastern China, Central China and Southern China, including Hong Kong.</w:t>
      </w:r>
    </w:p>
    <w:p>
      <w:pPr>
        <w:spacing w:after="0" w:line="243" w:lineRule="exact"/>
        <w:rPr>
          <w:rFonts w:ascii="Times New Roman" w:cs="Times New Roman" w:eastAsia="Times New Roman" w:hAnsi="Times New Roman"/>
          <w:sz w:val="14"/>
          <w:szCs w:val="14"/>
          <w:color w:val="auto"/>
        </w:rPr>
      </w:pPr>
    </w:p>
    <w:p>
      <w:pPr>
        <w:jc w:val="both"/>
        <w:ind w:left="1620" w:right="419" w:hanging="360"/>
        <w:spacing w:after="0" w:line="292" w:lineRule="auto"/>
        <w:tabs>
          <w:tab w:leader="none" w:pos="16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Shanghai, Beijing, Guangzhou and Shenzhen, which are determined based on the Ranking of Chinese Cities’ Business Attractiveness 2023 published by China’s leading media YiCai, a ranking of China’s cities by indexes such as concentration of commercial resources, city as a hub, urban residents’ activity, lifestyle diversity and future potential.</w:t>
      </w:r>
    </w:p>
    <w:p>
      <w:pPr>
        <w:spacing w:after="0" w:line="19" w:lineRule="exact"/>
        <w:rPr>
          <w:rFonts w:ascii="Times New Roman" w:cs="Times New Roman" w:eastAsia="Times New Roman" w:hAnsi="Times New Roman"/>
          <w:sz w:val="14"/>
          <w:szCs w:val="14"/>
          <w:color w:val="auto"/>
        </w:rPr>
      </w:pPr>
    </w:p>
    <w:p>
      <w:pPr>
        <w:jc w:val="both"/>
        <w:ind w:left="1620" w:right="419" w:hanging="360"/>
        <w:spacing w:after="0" w:line="276" w:lineRule="auto"/>
        <w:tabs>
          <w:tab w:leader="none" w:pos="16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Chengdu, Chongqing, Hangzhou, Wuhan, Suzhou, Xi’an, Nanjing, Changsha, Tianjin, Zhengzhou, Dongguan, Qingdao, Kunming, Ningbo, Hefei, Foshan, Shenyang, Wuxi, Jinan, Xiamen, Fuzhou, Wenzhou, Harbin, Shijiazhuang, Dalian, Nanning, Quanzhou, Jinhua, Guiyang, Changzhou, Changchun, Nanchang, Nantong, Jiaxing, Xuzhou, Huizhou, Taiyuan, Taizhou, Shaoxing, Baoding, Zhongshan, Weifang, Linyi, Zhuhai and Yantai, which are determined based on the Ranking of Chinese Cities’ Business Attractiveness 2023 published by China’s leading media YiCai, a ranking of China’s cities by indexes such as concentration of commercial resources, city as a hub, urban residents’ activity, media lifestyle diversity and future potential.</w:t>
      </w:r>
    </w:p>
    <w:p>
      <w:pPr>
        <w:spacing w:after="0" w:line="225"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other cities in China other than tier-1, new tier-1 and tier-2 cities.</w:t>
      </w:r>
    </w:p>
    <w:p>
      <w:pPr>
        <w:spacing w:after="0" w:line="82" w:lineRule="exact"/>
        <w:rPr>
          <w:rFonts w:ascii="Times New Roman" w:cs="Times New Roman" w:eastAsia="Times New Roman" w:hAnsi="Times New Roman"/>
          <w:sz w:val="14"/>
          <w:szCs w:val="14"/>
          <w:color w:val="auto"/>
        </w:rPr>
      </w:pPr>
    </w:p>
    <w:p>
      <w:pPr>
        <w:jc w:val="both"/>
        <w:ind w:left="1620" w:right="419" w:hanging="360"/>
        <w:spacing w:after="0" w:line="292" w:lineRule="auto"/>
        <w:tabs>
          <w:tab w:leader="none" w:pos="16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early 2024, we voluntarily terminated all then existing franchised teahouses in Singapore to recalibrate our branding and expansion strategy in this market. Following this strategic change, we had launched six company-owned teahouses in prime locations in Singapore up to December 31, 2024.</w:t>
      </w:r>
    </w:p>
    <w:p>
      <w:pPr>
        <w:spacing w:after="0" w:line="9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intend to further expand and densify our teahouse network both in China and overseas. On a global scale, we aim to strengthen our business presence in established markets like Malaysia, Singapore, and Thailand, while simultaneously exploring expansion opportunities in other promising markets such as the United States. Based on market research and our strategic efforts to enhance the quality of our teahouse</w:t>
      </w:r>
    </w:p>
    <w:p>
      <w:pPr>
        <w:sectPr>
          <w:pgSz w:w="11900" w:h="16838" w:orient="portrait"/>
          <w:cols w:equalWidth="0" w:num="1">
            <w:col w:w="9879"/>
          </w:cols>
          <w:pgMar w:left="580" w:top="97" w:right="1440" w:bottom="1440" w:gutter="0" w:footer="0" w:header="0"/>
          <w:type w:val="continuous"/>
        </w:sectPr>
      </w:pP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network, we plan to expand our store count by 1,000 to 1,500 teahouses in China and worldwide in 2025. Since December 31, 2024 and up to the date of this prospectus, 207 new CHAGEE teahouses have opened in China and globally, with additional 442 teahouses currently in development. As we have continued to scale and expand the scope and density of our store network across China, our store-level performance has begun to follow a normalized growth trajectory, as reflected in the decrease in average monthly GMV per teahouse in China in recent quarters and the deceleration or decline in quarterly same-store GMV growth. See also “Management’s Discussion and Analysis of Financial Condition and Results of Operations — Key Operating Data,” and “Risk Factors — Risk Relating to Our Business and Industry — If we are unable to successfully manage our growth or if our growth rate declines, our business and prospects may be materially and adversely affected.”</w:t>
      </w:r>
    </w:p>
    <w:p>
      <w:pPr>
        <w:spacing w:after="0" w:line="354"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As of December 31, 2024, 6,271 of our teahouses were franchised ones, with the remaining 169 being owned and operated by ourselves. We leverage our effective franchise business model to rapidly expand our teahouse network in a less capital-intensive manner. These franchise partnerships also provide valuable access to local resources and operating know-how, enabling us to elevate the performance of our franchised teahouses. By working closely with our franchise partners, we are able to better understand and cater to the unique needs and preferences of local consumers, ultimately driving the success of our business in each market.</w:t>
      </w:r>
    </w:p>
    <w:p>
      <w:pPr>
        <w:spacing w:after="0" w:line="200" w:lineRule="exact"/>
        <w:rPr>
          <w:sz w:val="20"/>
          <w:szCs w:val="20"/>
          <w:color w:val="auto"/>
        </w:rPr>
      </w:pP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Teahouse Site Selection</w:t>
      </w:r>
    </w:p>
    <w:p>
      <w:pPr>
        <w:spacing w:after="0" w:line="162" w:lineRule="exact"/>
        <w:rPr>
          <w:sz w:val="20"/>
          <w:szCs w:val="20"/>
          <w:color w:val="auto"/>
        </w:rPr>
      </w:pPr>
    </w:p>
    <w:p>
      <w:pPr>
        <w:jc w:val="both"/>
        <w:ind w:left="1260" w:right="419" w:firstLine="360"/>
        <w:spacing w:after="0" w:line="267" w:lineRule="auto"/>
        <w:rPr>
          <w:sz w:val="20"/>
          <w:szCs w:val="20"/>
          <w:color w:val="auto"/>
        </w:rPr>
      </w:pPr>
      <w:r>
        <w:rPr>
          <w:rFonts w:ascii="Times New Roman" w:cs="Times New Roman" w:eastAsia="Times New Roman" w:hAnsi="Times New Roman"/>
          <w:sz w:val="18"/>
          <w:szCs w:val="18"/>
          <w:color w:val="auto"/>
        </w:rPr>
        <w:t>Most of our CHAGEE teahouses are strategically situated in prime locations with high consumer traffic, such as the entrances and exits of premier shopping malls or along major commercial streets. We and our franchise partners meticulously scout each potential location to ensure that it is situated in the local hub of community activities with high pedestrian traffic, considerable commercial density, reputable co-tenants, and other such features, including proximity to tourist attractions and major office buildings or residential blocks.</w:t>
      </w:r>
    </w:p>
    <w:p>
      <w:pPr>
        <w:spacing w:after="0" w:line="334" w:lineRule="exact"/>
        <w:rPr>
          <w:sz w:val="20"/>
          <w:szCs w:val="20"/>
          <w:color w:val="auto"/>
        </w:rPr>
      </w:pPr>
    </w:p>
    <w:p>
      <w:pPr>
        <w:jc w:val="both"/>
        <w:ind w:left="1260" w:right="419" w:firstLine="360"/>
        <w:spacing w:after="0" w:line="297" w:lineRule="auto"/>
        <w:rPr>
          <w:sz w:val="20"/>
          <w:szCs w:val="20"/>
          <w:color w:val="auto"/>
        </w:rPr>
      </w:pPr>
      <w:r>
        <w:rPr>
          <w:rFonts w:ascii="Times New Roman" w:cs="Times New Roman" w:eastAsia="Times New Roman" w:hAnsi="Times New Roman"/>
          <w:sz w:val="18"/>
          <w:szCs w:val="18"/>
          <w:color w:val="auto"/>
        </w:rPr>
        <w:t>Our management team is responsible for deciding the site selection for every CHAGEE teahouse, whether company-owned or franchised.</w:t>
      </w:r>
    </w:p>
    <w:p>
      <w:pPr>
        <w:spacing w:after="0" w:line="82"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With respect to our company-owned teahouses, our strategic expansion team at city branches usually conducts in-depth market research to identify potential store sites that meet our rigorous standards. With respect to franchised teahouses, our franchise partners take charge of identifying and proposing potential store sites, which are subsequently subject to our approval.</w:t>
      </w:r>
    </w:p>
    <w:p>
      <w:pPr>
        <w:spacing w:after="0" w:line="118" w:lineRule="exact"/>
        <w:rPr>
          <w:sz w:val="20"/>
          <w:szCs w:val="20"/>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Before we approve a location for development, we diligently review that location’s demographics, site accessibility, visibility, traffic volume, the surrounding mix of residential, retail, and commercial establishments, competitive landscape, and rental market dynamics, among other factors.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Teahouse Design and Construction</w:t>
      </w:r>
    </w:p>
    <w:p>
      <w:pPr>
        <w:spacing w:after="0" w:line="148" w:lineRule="exact"/>
        <w:rPr>
          <w:sz w:val="20"/>
          <w:szCs w:val="20"/>
          <w:color w:val="auto"/>
        </w:rPr>
      </w:pPr>
    </w:p>
    <w:p>
      <w:pPr>
        <w:jc w:val="both"/>
        <w:ind w:left="1260" w:right="419" w:firstLine="360"/>
        <w:spacing w:after="0" w:line="269" w:lineRule="auto"/>
        <w:rPr>
          <w:sz w:val="20"/>
          <w:szCs w:val="20"/>
          <w:color w:val="auto"/>
        </w:rPr>
      </w:pPr>
      <w:r>
        <w:rPr>
          <w:rFonts w:ascii="Times New Roman" w:cs="Times New Roman" w:eastAsia="Times New Roman" w:hAnsi="Times New Roman"/>
          <w:sz w:val="18"/>
          <w:szCs w:val="18"/>
          <w:color w:val="auto"/>
        </w:rPr>
        <w:t>A typical CHAGEE teahouse is between 60 and 80 square meters in size with interior seating for approximately 20 guests. Meticulously decorated with a modern and upscale design, our latest teahouse model has been thoughtfully designed to create a minimalist aesthetic space that exudes relaxation and comfort and invites a moment of tranquility. Soft lighting, calming colors, and thoughtfully arranged seating areas all contribute to an atmosphere that encourages our consumers to slow down, savor each sip, and engage in meaningful conversations.</w:t>
      </w:r>
    </w:p>
    <w:p>
      <w:pPr>
        <w:spacing w:after="0" w:line="107"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To deliver a sensory journey to our consumers visiting our teahouses, we artfully deploy tea aroma diffusers that release the alluring and enchanting scents of our premium tea, enveloping our teahouses in an atmosphere of pure delight. Our carefully crafted ambiance provides an inviting and tranquil environment, offering our consumers a space to unwind and escape the hustle and bustle of everyday life. It is a destination where tea enthusiasts can indulge in the art of tea-drinking, whether they are in the company of family and friends or enjoying a moment of solitude. Below is a picture of our teahouse located in Shanghai, China opened in June 2023.</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1451610</wp:posOffset>
            </wp:positionH>
            <wp:positionV relativeFrom="paragraph">
              <wp:posOffset>569595</wp:posOffset>
            </wp:positionV>
            <wp:extent cx="3917315" cy="26149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917315"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Our in-house design and renovation team is responsible for the renovation and decoration of our teahouses. At our headquarters, we carefully craft the design of all teahouses, ensuring they incorporate our brand values and consistent look and ambiance. We follow a standardized design for most of our teahouses, with small variations for specialty shops, such as our flagship CHAGEE teahouses in major cities. This approach allows us to carry out the design and renovation procedures efficiently and ensure our brand ethos are properly incorporated.</w:t>
      </w:r>
    </w:p>
    <w:p>
      <w:pPr>
        <w:spacing w:after="0" w:line="12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part of our preopening preparations, we carefully select and install the necessary machines and equipment in each of our teahouses. Along an open tea bar within our teahouses, we meticulously curate an impressive lineup of fully-automated tea machines and tools built to our exacting specifications. These include our teaspresso-making machines, tea grinders, express chill iced tea makers, and automated tea making machines, all designed to preserve and accentuate the exquisite aromas and flavors of our CHAGEE teas. With these tea machines and tools at disposal, our store staff are able to consistently make each cup of tea with high precision and uncompromising quality in a matter of seconds. Not only does this ensure a delightful and immersive tea-drinking experience for our consumers, but it also enhances our operational efficiency at the storefront level.</w:t>
      </w:r>
    </w:p>
    <w:p>
      <w:pPr>
        <w:spacing w:after="0" w:line="34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Moreover, the use of these advanced tea machines helps ensure the preservation of our tea drink recipes and control the quality of our tea drinks. By following standardized brewing parameters and utilizing automated systems, we maintain the exact balance of flavors and ingredients that make our CHAGEE tea truly special. This not only safeguards the integrity of our brand but also guarantees that every consumer receives the same exceptional taste and quality with each visit.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Below are pictures of our open tea bar and fully-automated tea machines and tools at our teahouses.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137160</wp:posOffset>
            </wp:positionV>
            <wp:extent cx="4963160" cy="31286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96316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fit-out and opening of a typical CHAGEE teahouse generally takes approximately one month.</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Teahouse Management</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As we strive to rapidly increase our business scale and expand our teahouse network, we have developed a comprehensive set of rigorous policies and procedures to effectively manage the rapid growth of our teahouse network. Our objective is to maintain consistency in the quality of our products and services, operate CHAGEE teahouses efficiently and effectively, and achieve substantial economies of scale. These policies and procedures encompass various key areas of day-to-day store operations, from procurement of raw materials to recruitment and training of staff, from logistics infrastructure to warehousing and quality control, and from management to legal and regulatory compliance.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Franchise Network Management</w:t>
      </w:r>
    </w:p>
    <w:p>
      <w:pPr>
        <w:spacing w:after="0" w:line="14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Most of our teahouses operate under the franchised model. As of December 31, 2024, we had 6,440 CHAGEE teahouses, of which 6,271 are franchised. As of the same date, there were 3,195 domestic franchise partners with which we have entered into franchise contracts. We are not dependent on any particular franchise partners. Revenues from our five largest franchise partners by revenue contribution, which includes franchise fees and other service fees received directly from these franchise partners, as well as sales of products to the teahouses owned and operated by these franchise partners, in aggregate accounted for approximately 5%, 4% and 2% of our total revenues in 2022, 2023 and 2024 respectively.</w:t>
      </w:r>
    </w:p>
    <w:p>
      <w:pPr>
        <w:spacing w:after="0" w:line="121"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have employed a “managed franchise model” with strong oversight to proactively manage our extensive franchise network. This allows us to ensure consistent product quality and exceptional consumer service across all our teahouses. To achieve this, we have implemented a comprehensive set of standardized operating procedures and protocols that serve as the foundation of our franchise network. These guidelines cover every aspect of teahouse operations, from the sourcing of ingredients to the preparation of our tea drinks, and from staff training to consumer engagement. By establishing these robust procedures, we guarantee that every consumer receives the same high-quality experience regardless of which CHAGEE teahouse they visit.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our commitment to continuous improvement and efficiency, we have embraced digitalization to enhance our management and monitoring of our franchised teahouses. Through the integration of advanced digital tools and technologies, we have gained real-time insights into the performance and compliance of each teahouse in our network. This digitalization enables us to monitor key metrics, such as sales performance, consumer feedback, and inventory levels, allowing us to address any issues promptly and proactively. By harnessing data analytics and automated reporting systems, we can identify trends, make informed business decisions, and ensure adherence to our operational standards.</w:t>
      </w:r>
    </w:p>
    <w:p>
      <w:pPr>
        <w:spacing w:after="0" w:line="114"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Moreover, digitalization has facilitated seamless communication and collaboration between our corporate team and our franchise partners. We can easily share updates, provide training materials, and exchange best practices, fostering a strong partnership and a shared commitment to success. Through our strong oversight management approach and digitalization efforts, we uphold the highest standards of quality and service in our franchised teahouses. This allows us to create a consistent and exceptional experience for tea lovers across our rapidly growing network.</w:t>
      </w:r>
    </w:p>
    <w:p>
      <w:pPr>
        <w:spacing w:after="0" w:line="11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Franchise partner qualifications. </w:t>
      </w:r>
      <w:r>
        <w:rPr>
          <w:rFonts w:ascii="Times New Roman" w:cs="Times New Roman" w:eastAsia="Times New Roman" w:hAnsi="Times New Roman"/>
          <w:sz w:val="18"/>
          <w:szCs w:val="18"/>
          <w:color w:val="auto"/>
        </w:rPr>
        <w:t>We use a robust, multi-faceted franchisee selection process to ensure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bring on board quality franchisees who share our brand vision and philosophy. To this end, we consider factors such as the franchisee’s reasons for entering the franchise, financial strength, alignment with our brand philosophy, work and industry experience and management skills when selecting our franchise partners. In addition, our franchise partners must be able to obtain the qualifications and licenses necessary for the operation of the franchised stores, including the local business licenses, tax registration, food business permits, health certification or other necessary administrative licenses, qualifications, certifications or filings.</w:t>
      </w:r>
    </w:p>
    <w:p>
      <w:pPr>
        <w:spacing w:after="0" w:line="32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Franchise contracts</w:t>
      </w:r>
      <w:r>
        <w:rPr>
          <w:rFonts w:ascii="Times New Roman" w:cs="Times New Roman" w:eastAsia="Times New Roman" w:hAnsi="Times New Roman"/>
          <w:sz w:val="18"/>
          <w:szCs w:val="18"/>
          <w:color w:val="auto"/>
        </w:rPr>
        <w:t>. We enter into a franchise contract with each of our franchise partners,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has a term of one year, subject to renewal options upon mutual agreement. We have the unilateral right to terminate the franchise contracts in the event of material breaches of contract by our franchise partners, such as sub-franchising the teahouses to other persons and engaging in competing business. In such circumstances, we also have the right to deduct from the franchise deposit collected and claim liquidated damages against the franchise partners. There is no provision that allows our franchise partners effect the early termination of the franchise contract. We are also entitled to a right of first offer to take over any franchised teahouse if the franchise partner decides to discontinue the franchise. This right allows us to safeguard and maintain the integrity and growth of our franchise network. The franchise contract further stipulates that franchise partners are responsible for any damages, liabilities, or losses caused by their actions or failure to comply with the franchise contract or relevant local laws or regulations. In addition, the franchise partners are responsible for resolving labor disputes, customer complaints and food safety violations at their respective teahouse. If these issues cause damage to our brand reputation or result in us having to pay fines or damages to third parties, we have the right to seek indemnification from the relevant franchise partners.</w:t>
      </w:r>
    </w:p>
    <w:p>
      <w:pPr>
        <w:spacing w:after="0" w:line="33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Fee arrangements. </w:t>
      </w:r>
      <w:r>
        <w:rPr>
          <w:rFonts w:ascii="Times New Roman" w:cs="Times New Roman" w:eastAsia="Times New Roman" w:hAnsi="Times New Roman"/>
          <w:sz w:val="18"/>
          <w:szCs w:val="18"/>
          <w:color w:val="auto"/>
        </w:rPr>
        <w:t>We generally collect a fixed initial franchise fee from our franchise partners. Once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franchised teahouse opens, we charge the franchise partner a monthly royalty typically computed by applying a fixed percentage to the monthly income, or, in certain instances, to the monthly profit generated by a franchised teahouse. Additionally, we employ a centralized procurement system to maintain consistent product taste and quality, and charge our franchise partners fees related to the procurement of store supplies. Furthermore, franchise partners are contractually required to pay annual brand license fees, as well as other service fees including staff training fees and information system service fees. We collect the franchise deposit at a fixed amount from our franchise partners at the beginning of the franchise term to ensure they are motivated to fully comply with the terms of our franchise contracts. We are contractually not obligated to, and we usually do not, provide financing to our franchise partners.</w:t>
      </w:r>
    </w:p>
    <w:p>
      <w:pPr>
        <w:spacing w:after="0" w:line="11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Teahouse operation management</w:t>
      </w:r>
      <w:r>
        <w:rPr>
          <w:rFonts w:ascii="Times New Roman" w:cs="Times New Roman" w:eastAsia="Times New Roman" w:hAnsi="Times New Roman"/>
          <w:sz w:val="18"/>
          <w:szCs w:val="18"/>
          <w:color w:val="auto"/>
        </w:rPr>
        <w:t>. Prior to the opening of a teahouse, our franchise partners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responsible for identifying and proposing suitable teahouse sites for our approval, constructing and renovating the teahouses at their own expenses in accordance with our unified store design guidelines, and obtaining requisite approvals, licenses and permits. We typically require our franchise partners to strictly follow our stringent standard operating procedures and protocols covering crucial aspects such as business hours, product pricing, food preparation, store disinfection and sterilization, consumer service, as well as social media and public relations management. For the 229 franchised teahouses directly managed by us, our franchise partners are contractually obligated to pay rent, store utilities and other operating costs. By implementing these standards and requirements, we aim to ensure consistency and excellence across all our franchised teahouses.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Performance assessment</w:t>
      </w:r>
      <w:r>
        <w:rPr>
          <w:rFonts w:ascii="Times New Roman" w:cs="Times New Roman" w:eastAsia="Times New Roman" w:hAnsi="Times New Roman"/>
          <w:sz w:val="18"/>
          <w:szCs w:val="18"/>
          <w:color w:val="auto"/>
        </w:rPr>
        <w:t>. In order to uphold our stringent standards and requirements across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franchised teahouses, we conduct regular and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on- site inspections. These assessments encompass various aspects, including product quality, service delivery, consumer satisfaction, hygiene, and compliance, among others. Based on their overall performance, our franchised teahouses are classified into four different grades. For under-performing teahouses, we take proactive measures to improve their operations. In cases where a franchised teahouse falls within the lowest two grades and fails to rectify its performance within a specified period, we deploy a dedicated team to provide on-site supervision of daily operations. In exceptional circumstances where a franchised teahouse consistently falls short of our standards and requirements, we may enforce our contractual right to require store closure and terminate our relationship with the franchisee.</w:t>
      </w:r>
    </w:p>
    <w:p>
      <w:pPr>
        <w:spacing w:after="0" w:line="32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Human resources management</w:t>
      </w:r>
      <w:r>
        <w:rPr>
          <w:rFonts w:ascii="Times New Roman" w:cs="Times New Roman" w:eastAsia="Times New Roman" w:hAnsi="Times New Roman"/>
          <w:sz w:val="18"/>
          <w:szCs w:val="18"/>
          <w:color w:val="auto"/>
        </w:rPr>
        <w:t>. Our franchise partners assume the responsibility of recruiting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retaining staff for their teahouses, including covering the costs associated with onboarding and ongoing training programs facilitated by us. To foster a shared alignment with our corporate values, we offer a unique opportunity for exceptional store staff from our franchised teahouses to be recruited and pursue a promising career within our company. This approach serves as a strong incentive for outstanding performers within our franchise network, allowing them to further grow and thrive within our organization.</w:t>
      </w:r>
    </w:p>
    <w:p>
      <w:pPr>
        <w:spacing w:after="0" w:line="112"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Non-competition</w:t>
      </w:r>
      <w:r>
        <w:rPr>
          <w:rFonts w:ascii="Times New Roman" w:cs="Times New Roman" w:eastAsia="Times New Roman" w:hAnsi="Times New Roman"/>
          <w:sz w:val="18"/>
          <w:szCs w:val="18"/>
          <w:color w:val="auto"/>
        </w:rPr>
        <w:t>. Our franchise partners are contractually prohibited from engaging in any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potentially competing with ours within the contract term, either on its own or through partnership or franchise relationships with others.</w:t>
      </w:r>
    </w:p>
    <w:p>
      <w:pPr>
        <w:spacing w:after="0" w:line="99"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Brand licensing </w:t>
      </w:r>
      <w:r>
        <w:rPr>
          <w:rFonts w:ascii="Times New Roman" w:cs="Times New Roman" w:eastAsia="Times New Roman" w:hAnsi="Times New Roman"/>
          <w:sz w:val="18"/>
          <w:szCs w:val="18"/>
          <w:color w:val="auto"/>
        </w:rPr>
        <w:t>. To ensure a consistent and recognizable brand identity, we authorize our franchised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teahouses to use our relevant CHAGEE brand name, logo and trademarks in accordance with our brand use guidelines throughout the duration of the contract.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WE VALUE OUR CONSUMERS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Consumers are at the heart of our success. Leveraging our extensive teahouse network and strong technology capabilities, we stay connected with our consumers.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Enjoy Our Tea Drinks Anytime, Anywhere — Our Mobile Mini Program and Online Presence</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have developed a mobile mini program which provides a seamless and fun consumer purchase experience with user-friendly interfaces. Consumers can use our mobile mini program to easily find the nearest teahouse, place orders at their fingertips without physically queuing in teahouses, make payments online, and receive real-time updates on the status of their orders. The following pictures illustrate the interfaces and key functions of our mobile mini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83820</wp:posOffset>
            </wp:positionV>
            <wp:extent cx="4671695" cy="28714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671695" cy="28714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Our mobile mini program seamlessly caters to the needs of our consumers, offering both pick-up and delivery options. When placing orders online, consumers are presented with the choice between these two options and our mobile mini program will intelligently recommend the nearest teahouse based on their proximity. Consumers may also explore and select from other store options of their choices.</w:t>
      </w:r>
    </w:p>
    <w:p>
      <w:pPr>
        <w:spacing w:after="0" w:line="112"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To enable our consumers to enjoy our freshly-made tea drinks at work or at home, we prioritize providing them with speedy and reliable delivery services. We collaborate with trusted third-party delivery companies and have integrated our online presence with their delivery networks across various online platforms. This integration enables us to optimize order-rider matching based on our teahouse location, consumer location, and real-time location of delivery riders, while also monitoring and tracking the delivery process.</w:t>
      </w:r>
    </w:p>
    <w:p>
      <w:pPr>
        <w:spacing w:after="0" w:line="336"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In addition to our mobile mini program, our exquisite tea drinks are also made available through reputable third-party online delivery platforms. As the number of users of our mobile mini program continues to rapidly increase, we expect to gain valuable insight into our consumers’ consumption patterns. This will allow us to analyze their preferences and refine and develop our menu and services to better meet their evolving needs.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Joining Us — CHAGEE Membership Program</w:t>
      </w:r>
    </w:p>
    <w:p>
      <w:pPr>
        <w:spacing w:after="0" w:line="14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 September 2021, we officially introduced our CHAGEE membership program to better engage and understand our extensive consumer base. Through this program, members can accumulate points by making purchases at any CHAGEE teahouse or via our mobile mini program. The following pictures illustrate the interfaces of our CHAGEE membership program accessible via our mobile mini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108585</wp:posOffset>
            </wp:positionV>
            <wp:extent cx="5031740" cy="27863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031740"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program consists of five membership tiers, each determined by a member’s spending over a one-year cycle, with each tier offering different benefits and privileges. For instance, level 3 to 5 members are entitled to free drink e-vouchers which allow them to try our new tea drinks for free. As members advance to higher levels, we credit their membership accounts with coupons for use at our teahouses. Points earned through the program can also be redeemed for certain products at no cost.</w:t>
      </w:r>
    </w:p>
    <w:p>
      <w:pPr>
        <w:spacing w:after="0" w:line="116"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As of December 31, 2024, our membership program amassed over 177.3 million registered members, increasing from 69.4 million registered members as of the end of 2023. In 2024, we had a total of 99.2 million active members, representing a year-over-year increase of 112.2% from the same period in 2023. In 2024, the total number of orders from members with two or more purchases accounted for approximately 88.8% of the total number of orders.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Consumer Opinions Matter</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value consumer opinions and encourage them to share their feedback through reviews. We regularly and closely analyze consumer feedback to identify areas of improvement, addressing any issues of dissatisfaction and enhancing our products and services accordingly.</w:t>
      </w:r>
    </w:p>
    <w:p>
      <w:pPr>
        <w:spacing w:after="0" w:line="10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addition, we use consumer feedback as a significant performance indicator when evaluating individual store performance, incentivizing our storefronts to maintain exceptional consumer services. Our commitment to listening to our consumers enables us to continuously provide an exceptional and personalized consumer experience.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BRANDING AND MARKETING</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endeavor to attract repeat visits by offering consumers an exceptional in-store experience along with tasteful and high-quality tea drinks. The CHAGEE experience encourages our consumers to visit us repeatedly and recommend us to their friends and family. We firmly believe that word-of-mouth referrals are the most powerful and effective means of establishing a trusted household brand.</w:t>
      </w:r>
    </w:p>
    <w:p>
      <w:pPr>
        <w:spacing w:after="0" w:line="110"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Our branding and marketing strategy involves utilizing various social media platforms to showcase our consumers’ exceptional tea-drinking experience, stunning products, co-branded events, and other campaigns. We collaborate with popular social media platforms such as RED (Xiaohongshu), Douyin, TikTok and Weibo to promote our brand and products and generate CHAGEE-related topics to enhance our bonding with consumers. We are convinced that our proactive social media management has been instrumental in establishing a formidable reputation among younger consumers and will continue to aid us in retaining and expanding our consumer base.</w:t>
      </w:r>
    </w:p>
    <w:p>
      <w:pPr>
        <w:spacing w:after="0" w:line="322"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Our goal is to forge enduring relationships with our consumers and integrate CHAGEE into their daily routines. To achieve this, we have joined forces with various renowned brands such as Keep, Soul app, Strawberry Music Festival and National Treasure program to orchestrate both online and offline promotional events. We believe that these co-branding ventures are effective in sustaining and elevating our brand awareness.</w:t>
      </w:r>
    </w:p>
    <w:p>
      <w:pPr>
        <w:spacing w:after="0" w:line="335"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offer a selection of merchandise at our teahouses that echoes our brand hallmarks and enhances the overall tea-drinking and cultural experience. From stylish tote bags to elegant mugs and gift tea box sets, our merchandise portfolio was purposefully developed and made to promote our brand values, making our tea ubiquitous to our consumers’ daily lives.</w:t>
      </w:r>
    </w:p>
    <w:p>
      <w:pPr>
        <w:spacing w:after="0" w:line="11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According to iResearch, among freshly-made tea drinks brands with over 1,000 stores in China, CHAGEE ranked the first in terms of the number of posts, number of views, and total audience interaction volume on RED (Xiaohongshu) in 2024, and experienced the highest year-on-year growth rate of 234.5% in Douyin’s keyword search index in 2024. In addition, according to iResearch, CHAGEE appeared in Weibo’s trending search more than 50 times in 2024, ranking first in China’s premium freshly-made tea drinks industry. The cumulative number of views of these trending searches exceeded 4.9 billion.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SUPPLY CHAIN MANAGEMENT</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Ensuring the superior quality of our products is dependent on various factors, such as sourcing the finest ingredients and supplies from trustworthy suppliers, implementing measures to uphold ingredient quality post-procurement, and ensuring that all our tea drinks and other products are carefully prepared before reaching our consumers. We prioritize consumer satisfaction and recognize that food safety and product quality are critical to our daily business operations.</w:t>
      </w:r>
    </w:p>
    <w:p>
      <w:pPr>
        <w:spacing w:after="0" w:line="112"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Procurements</w:t>
      </w:r>
      <w:r>
        <w:rPr>
          <w:rFonts w:ascii="Times New Roman" w:cs="Times New Roman" w:eastAsia="Times New Roman" w:hAnsi="Times New Roman"/>
          <w:sz w:val="18"/>
          <w:szCs w:val="18"/>
          <w:color w:val="auto"/>
        </w:rPr>
        <w:t>. Maintaining the high quality of our products relies on sourcing the finest ingredients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essential supplies from reliable suppliers. Through long-term and stable cooperation with our suppliers, we are able to minimize procurement costs and increase the profitability of our raw materials sales while maintaining quality.</w:t>
      </w:r>
    </w:p>
    <w:p>
      <w:pPr>
        <w:spacing w:after="0" w:line="72" w:lineRule="exact"/>
        <w:rPr>
          <w:sz w:val="20"/>
          <w:szCs w:val="20"/>
          <w:color w:val="auto"/>
        </w:rPr>
      </w:pPr>
    </w:p>
    <w:p>
      <w:pPr>
        <w:jc w:val="both"/>
        <w:ind w:left="1800" w:right="419" w:hanging="180"/>
        <w:spacing w:after="0" w:line="266"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the procurement of high-quality raw material, our quality control department conducts a thorough pre-screening process for potential suppliers, evaluating their certificates, qualifications, production capacity, quality control systems, raw material sources, sales volume and pricing record,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spacing w:after="0" w:line="266" w:lineRule="auto"/>
        <w:rPr>
          <w:sz w:val="20"/>
          <w:szCs w:val="20"/>
          <w:color w:val="auto"/>
        </w:rPr>
      </w:pPr>
      <w:r>
        <w:rPr>
          <w:rFonts w:ascii="Times New Roman" w:cs="Times New Roman" w:eastAsia="Times New Roman" w:hAnsi="Times New Roman"/>
          <w:sz w:val="18"/>
          <w:szCs w:val="18"/>
          <w:color w:val="auto"/>
        </w:rPr>
        <w:t>consumer profile, reliability, and market reputation. On-site inspections are also carried out to verify their compliance with our quality standards. Only selected suppliers that successfully pass these screenings and inspections are chosen as partners.</w:t>
      </w:r>
    </w:p>
    <w:p>
      <w:pPr>
        <w:spacing w:after="0" w:line="81" w:lineRule="exact"/>
        <w:rPr>
          <w:sz w:val="20"/>
          <w:szCs w:val="20"/>
          <w:color w:val="auto"/>
        </w:rPr>
      </w:pPr>
    </w:p>
    <w:p>
      <w:pPr>
        <w:jc w:val="both"/>
        <w:ind w:left="1800" w:right="419" w:hanging="180"/>
        <w:spacing w:after="0" w:line="258"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continuously assess our suppliers’ performance and their relationships with us, considering factors such as supply quality, delivery timeliness, price, and services. We prioritize procurement from the highest graded suppliers while reducing or terminating procurement from lower graded suppliers based on regular reviews. This rigorous evaluation process ensures that we consistently collaborate with top-performing suppliers who meet our stringent quality requirements.</w:t>
      </w:r>
    </w:p>
    <w:p>
      <w:pPr>
        <w:spacing w:after="0" w:line="9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Logistics</w:t>
      </w:r>
      <w:r>
        <w:rPr>
          <w:rFonts w:ascii="Times New Roman" w:cs="Times New Roman" w:eastAsia="Times New Roman" w:hAnsi="Times New Roman"/>
          <w:sz w:val="18"/>
          <w:szCs w:val="18"/>
          <w:color w:val="auto"/>
        </w:rPr>
        <w:t>. We minimize our warehousing and distribution costs by storing and transporting efficiently.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creates a sustainable foundation for our continuous growth. We have accomplished this by establishing a two-tiered warehousing system with separate centralized and regional warehouses to achieve higher efficiency and lower costs in storage and logistics. With warehousing services available in 37 locations across China, we are able to provide cold chain transportation and next-day delivery within our teahouse network in China. With minimal capital expenditures, we have established a highly efficient logistics system, resulting in our logistics costs accounting for less than one percent of our total GMV generated in China and overseas in 2024. During the same period, our inventory turnover days were approximately 5.3 days, representing the lowest figure among all freshly-made tea drinks brands with over 1,000 stores in China, according to iResearch.</w:t>
      </w:r>
    </w:p>
    <w:p>
      <w:pPr>
        <w:spacing w:after="0" w:line="337"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Inventory management</w:t>
      </w:r>
      <w:r>
        <w:rPr>
          <w:rFonts w:ascii="Times New Roman" w:cs="Times New Roman" w:eastAsia="Times New Roman" w:hAnsi="Times New Roman"/>
          <w:sz w:val="18"/>
          <w:szCs w:val="18"/>
          <w:color w:val="auto"/>
        </w:rPr>
        <w:t>. We employ comprehensive quality control measures to ensure the freshness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integrity of our inventories. Our refrigeration systems maintain optimal temperature and humidity conditions, safeguarding the quality of perishable items. Our store staff diligently monitor and manage expiration dates to prevent the use of expired ingredients.</w:t>
      </w:r>
    </w:p>
    <w:p>
      <w:pPr>
        <w:spacing w:after="0" w:line="109"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Tea drinks preparation</w:t>
      </w:r>
      <w:r>
        <w:rPr>
          <w:rFonts w:ascii="Times New Roman" w:cs="Times New Roman" w:eastAsia="Times New Roman" w:hAnsi="Times New Roman"/>
          <w:sz w:val="18"/>
          <w:szCs w:val="18"/>
          <w:color w:val="auto"/>
        </w:rPr>
        <w:t>. At CHAGEE, we are committed to upholding high quality and hygiene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standards during tea drinks preparation.</w:t>
      </w:r>
    </w:p>
    <w:p>
      <w:pPr>
        <w:spacing w:after="0" w:line="51" w:lineRule="exact"/>
        <w:rPr>
          <w:sz w:val="20"/>
          <w:szCs w:val="20"/>
          <w:color w:val="auto"/>
        </w:rPr>
      </w:pPr>
    </w:p>
    <w:p>
      <w:pPr>
        <w:jc w:val="both"/>
        <w:ind w:left="1800" w:right="419" w:hanging="180"/>
        <w:spacing w:after="0" w:line="261"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in-store crew undergoes rigorous training to ensure compliance with strict hygiene protocols, including proper handwashing, sanitization, and personal protective equipment usage. We maintain a clean and sanitary environment by implementing regular disinfection procedures for all equipment, utensils, and work surfaces.</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our quality control team conducts thorough inspections to monitor and enforce compliance with these hygiene standards. By prioritizing employee hygiene and implementing stringent disinfection measures, we safeguard the integrity and safety of our tea drinks.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harness the power of technology to drive product innovation, optimize storefront operations, elevate consumer experience, and fuel our growth.</w:t>
      </w:r>
    </w:p>
    <w:p>
      <w:pPr>
        <w:spacing w:after="0" w:line="94" w:lineRule="exact"/>
        <w:rPr>
          <w:sz w:val="20"/>
          <w:szCs w:val="20"/>
          <w:color w:val="auto"/>
        </w:rPr>
      </w:pPr>
    </w:p>
    <w:p>
      <w:pPr>
        <w:jc w:val="both"/>
        <w:ind w:left="1260" w:right="419" w:firstLine="360"/>
        <w:spacing w:after="0" w:line="238" w:lineRule="auto"/>
        <w:rPr>
          <w:sz w:val="20"/>
          <w:szCs w:val="20"/>
          <w:color w:val="auto"/>
        </w:rPr>
      </w:pPr>
      <w:r>
        <w:rPr>
          <w:rFonts w:ascii="Times New Roman" w:cs="Times New Roman" w:eastAsia="Times New Roman" w:hAnsi="Times New Roman"/>
          <w:sz w:val="18"/>
          <w:szCs w:val="18"/>
          <w:color w:val="auto"/>
        </w:rPr>
        <w:t>We have embraced the concept of storefront automation and digitalization, leveraging advanced technologies to streamline our operations. Our teahouses are equipped with state-of-the-art automation systems, including fully-automated tea brewers, teaspresso-making machines, and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bottle coolers. These advanced machines ensure consistent quality and efficiency in preparing our CHAGEE teas within seconds. By automating key processes, we enhance speed, accuracy, and consistency, enabling our store staff to focus on personalized consumer interactions and maintaining a welcoming atmosphere.</w:t>
      </w:r>
    </w:p>
    <w:p>
      <w:pPr>
        <w:spacing w:after="0" w:line="12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Digitalization has played a pivotal role in informing our supply chain management, enabling us to optimize efficiency, ensure product quality, and meet the demands of our expanding teahouse network. Through the implementation of digital technologies and data-driven systems, we have achieved significant improvements in our supply chain processes. By digitalizing our supply chain, we have enhanced visibility and traceability across the entire value chain. Our procurement process is supported by advanced inventory management systems that track and monitor raw material levels in real-time. This enables us to forecast demand accurately, streamline procurement activities, and reduce inventory holding costs. With centralized oversight of our logistics operations, we can optimize transportation routes, minimize delivery lead times, and reduce costs associated with logistics management.</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Through advanced data analytics, we gain valuable insights into consumer behavior, preferences, and market trends. This allows us to continuously refine our product offerings, personalized consumer experiences, and optimize our sales and marketing efforts. We analyze data collected from various touchpoints, such as our CHAGEE membership program, mobile mini program, third-party online platforms, and point-of- sale systems, to understand consumer preferences, purchasing patterns, and feedback. These insights enable us to tailor our menu, introduce new flavors, and enhance our overall product portfolio to exceed consumer expectations.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USER PRIVACY AND DATA SECURITY</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prioritize user privacy and data security as paramount concerns. To safeguard consumer data, we have implemented a robust framework consisting of comprehensive policies, processes, network architecture, and software.</w:t>
      </w:r>
    </w:p>
    <w:p>
      <w:pPr>
        <w:spacing w:after="0" w:line="10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 compliance with standard practices, we collect customary personal information from our consumers during membership registration, food delivery, and online payment, which may include their names, mobile phone numbers, physical locations, and addresses. To uphold the confidentiality and integrity of our consumers’ data, we adhere to stringent data security measures. This includes encrypting confidential personal information, as well as implementing advanced technological safeguards for secure data processing, transmission, and usage.</w:t>
      </w:r>
    </w:p>
    <w:p>
      <w:pPr>
        <w:spacing w:after="0" w:line="325"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Additionally, we have established rigorous internal protocols that restrict access to confidential personal data, permitting only a limited number of employees with strictly defined and layered access authorization. These measures collectively ensure the utmost protection and privacy of our consumers’ sensitive information. See “Risk Factors — Risks Relating to Our Business and Industry — Our business generates and processes data, which subjects us to governmental regulations and other legal obligations related to privacy, information security and data protection. Any improper use or disclosure of such data by us, our employees or our business partners could subject us to significant reputational, financial, legal and operational consequences.”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are dedicated to promoting corporate social responsibility and sustainable development, incorporating them into all key aspects of our business operations. Corporate social responsibility is an integral part of our growth philosophy and plays a crucial role in creating sustainable value for our shareholders. We prioritize embracing diversity and considering public interests as essential elements of our business strategy.</w:t>
      </w:r>
    </w:p>
    <w:p>
      <w:pPr>
        <w:spacing w:after="0" w:line="32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are committed to minimizing our environmental impact by prioritizing energy-saving practices and sustainable development. Our packaging materials, such as cups, straws, and cup sleeves, are thoughtfully selected for their recyclability to reduce our environmental footprint. Moreover, we have launched various sustainability initiatives and campaigns to encourage our consumers to embrace reusable alternatives, such as biodegradable straws, with the aim of achieving biodegradable standards for the vast majority of our packaging materials by the end of 2024. Additionally, we strive to reduce energy consumption by investing in energy-efficient tea-making machines and equipment, optimizing our lighting systems, and promoting energy-saving practices throughout our operations.</w:t>
      </w:r>
    </w:p>
    <w:p>
      <w:pPr>
        <w:spacing w:after="0" w:line="124"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champion a health-conscious lifestyle and actively promote the transparency of ingredients and product nutritional profiles. In August 2023, we took a pioneering step in the freshly-made tea drinks industry in China by disclosing the calorie and nutritional information for six products via our official CHAGEE Weixin account. This move enables consumers to easily access a detailed product information sheet by entering the product name in the Weixin dialog box. The sheet provides comprehensive details, including calorie values, nutritional content, and taste profiles. Through this innovative initiative, we aim to address our consumers’ health concerns, fostering increased brand trust in CHAGEE.</w:t>
      </w:r>
    </w:p>
    <w:p>
      <w:pPr>
        <w:spacing w:after="0" w:line="108"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We have a long-standing dedication to philanthropy, actively supporting charitable causes and exemplifying our corporate social responsibility. As a gesture of appreciation for the tireless efforts of frontline workers in our communities, we have provided comforting tea drinks to a diverse range of sectors, including firefighters, sanitation workers, healthcare professionals, police officers, and logistics personnel across China. In December 2023, we opened the first unique “silent teahouse” in Hangzhou, which is staffed predominantly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by hearing-impaired individuals, offering them newfound avenues for social engagement. As of March 2025, we opened 10 “silent teahouses” in China, and moving forward, we intend to expand our collaboration with local disability associations, aiming to create additional employment opportunities for individuals with disabilities. These initiatives reflect our unwavering commitment to making positive contributions to society.</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regard our trademarks, copyrights, domain names, and similar intellectual property as critical to our success. As of December 31, 2024, we had nine patents registered in China and eight patents registered globally. We also own 532 registered trademarks in China and 212 registered trademarks in other countries and regions worldwide, and 60 registered copyrights globally.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face intense competition in the freshly-made tea drinks market. Our current or potential competitors are mainly freshly-made tea drinks brands in China and overseas.</w:t>
      </w:r>
    </w:p>
    <w:p>
      <w:pPr>
        <w:spacing w:after="0" w:line="95"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believe that the principal competitive factors in the freshly-made tea drinks market include the following:</w:t>
      </w:r>
    </w:p>
    <w:p>
      <w:pPr>
        <w:spacing w:after="0" w:line="54" w:lineRule="exact"/>
        <w:rPr>
          <w:sz w:val="20"/>
          <w:szCs w:val="20"/>
          <w:color w:val="auto"/>
        </w:rPr>
      </w:pPr>
    </w:p>
    <w:p>
      <w:pPr>
        <w:ind w:left="1800" w:hanging="180"/>
        <w:spacing w:after="0"/>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 network;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safety;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management and operating efficiency;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consumer services;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sales and marketing;</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Digitalization and technology innovation;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experience.</w:t>
      </w:r>
    </w:p>
    <w:p>
      <w:pPr>
        <w:spacing w:after="0" w:line="15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believe that we are well-positioned to effectively compete on the basis of the factors listed above. However, our competitors may have longer operating history, greater brand recognition, more capital, better supplier relationships and larger consumer base. For discussion of risks relating to our competitors, see “Risk Factors — Risks Relating to Our Business and Industry — We operate in the highly competitive and rapidly evolving freshly-made tea drinks market in China and overseas.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PEOPLE</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pride ourselves on the talent, passion, and dedication of our employees, who are united in our vision to revolutionize the global tea-drinking experience. As of December 31, 2023 and 2024, we had a total of 1,959 and 4,800 employees, respectively. Substantially all of our employees are based in China, with the remaining located in overseas markets.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the breakdowns of our employees by functions as of December 31, 2024:</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6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92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Employees</w:t>
            </w:r>
          </w:p>
        </w:tc>
        <w:tc>
          <w:tcPr>
            <w:tcW w:w="118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Percentage (%)</w:t>
            </w:r>
            <w:r>
              <w:rPr>
                <w:rFonts w:ascii="Times New Roman" w:cs="Times New Roman" w:eastAsia="Times New Roman" w:hAnsi="Times New Roman"/>
                <w:sz w:val="24"/>
                <w:szCs w:val="24"/>
                <w:b w:val="1"/>
                <w:bCs w:val="1"/>
                <w:color w:val="auto"/>
                <w:vertAlign w:val="subscript"/>
              </w:rPr>
              <w:t>​</w:t>
            </w:r>
          </w:p>
        </w:tc>
      </w:tr>
      <w:tr>
        <w:trPr>
          <w:trHeight w:val="20"/>
        </w:trPr>
        <w:tc>
          <w:tcPr>
            <w:tcW w:w="6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development and operations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2,560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53.3</w:t>
            </w:r>
          </w:p>
        </w:tc>
        <w:tc>
          <w:tcPr>
            <w:tcW w:w="120" w:type="dxa"/>
            <w:vAlign w:val="bottom"/>
            <w:shd w:val="clear" w:color="auto" w:fill="CCEEFF"/>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Branding and marketing</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15.9</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 chain and quality control</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General administration and corporate services</w:t>
            </w:r>
            <w:r>
              <w:rPr>
                <w:rFonts w:ascii="Times New Roman" w:cs="Times New Roman" w:eastAsia="Times New Roman" w:hAnsi="Times New Roman"/>
                <w:sz w:val="23"/>
                <w:szCs w:val="23"/>
                <w:color w:val="auto"/>
                <w:vertAlign w:val="superscript"/>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1,189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24.8</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​4,800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-788035</wp:posOffset>
            </wp:positionV>
            <wp:extent cx="1371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-788035</wp:posOffset>
            </wp:positionV>
            <wp:extent cx="1371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8" w:lineRule="exact"/>
        <w:rPr>
          <w:sz w:val="20"/>
          <w:szCs w:val="20"/>
          <w:color w:val="auto"/>
        </w:rPr>
      </w:pPr>
    </w:p>
    <w:p>
      <w:pPr>
        <w:ind w:left="1620" w:hanging="360"/>
        <w:spacing w:after="0"/>
        <w:tabs>
          <w:tab w:leader="none" w:pos="1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including finance, legal and compliance, IT and other general and administrative functions.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believe that we maintain a good working relationship with our employees, and we have not experienced any material labor disputes in the past. None of our employees are represented by labor unions with respect to his or her employment.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principal executive office is located in Shanghai, China, consisting of approximately 14,400 square meters of leased office space, primarily for corporate administration as well as research and development. We also have other leased properties in 34 cities in China for a total of approximately 31,200 square meters of office space. Additionally, we have leased office space in multiple overseas locations including Singapore and Malaysia totaling approximately 3,100 square meters. Furthermore, our company-owned teahouses occupy a total of approximately 23,700 square meters of leased store space. We do not directly own or lease our warehousing facilities, but utilize third-party vendors to provide warehousing services, except that we leased a warehouse of approximately 1,500 square meters in Wuhan China. The warehousing services are available in 37 locations across China and seven locations overseas.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COMPLIANCE, LICENSES AND PERMITS</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For compliance requirements related to our business, including applicable licenses and permits, see “Regulation.” For risks in relation to deficiencies of applicable license and permits, see “Risk Factors —  Risks Relating to Our Business and Industry — Any lack of requisite approvals, licenses or permits applicable to our or our franchise partners’ teahouses may have a material and adverse impact on our business, financial condition and results of operations.”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48"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We are from time to time subject to various claims, lawsuits and other legal and administrative proceedings arising in the ordinary course of business. However, we do not consider any such claims, lawsuits or proceedings that are currently pending, individually or in the aggregate, to be material to our business or likely or result in a material adverse effect on our future operating results, financial condition or cash flows.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provide social security insurance including medical insurance, maternity insurance, workplace injury insurance, unemployment insurance and pension benefits for our employees. Consistent with customary industry practice in China, we do not maintain business interruption insurance, nor do we maintain product liability insurance or key-man life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This section summarizes the most significant rules and regulations that affect our business activities in China or our shareholders’ rights to receive dividends and other distributions from us.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FOOD SAFETY AND LICENSING REQUIREMENT FOR FOOD OPERATION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Food Safety Law</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i w:val="1"/>
          <w:iCs w:val="1"/>
          <w:color w:val="auto"/>
        </w:rPr>
        <w:t>the Food Safety Law of the People’s Republic of China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Food Safety Law</w:t>
      </w:r>
      <w:r>
        <w:rPr>
          <w:rFonts w:ascii="Times New Roman" w:cs="Times New Roman" w:eastAsia="Times New Roman" w:hAnsi="Times New Roman"/>
          <w:sz w:val="18"/>
          <w:szCs w:val="18"/>
          <w:color w:val="auto"/>
        </w:rPr>
        <w:t>”), that</w:t>
      </w:r>
    </w:p>
    <w:p>
      <w:pPr>
        <w:spacing w:after="0" w:line="31"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became effective on June 1, 2009, and most recently amended on April 29, 2021, the State Council of the PRC (“</w:t>
      </w:r>
      <w:r>
        <w:rPr>
          <w:rFonts w:ascii="Times New Roman" w:cs="Times New Roman" w:eastAsia="Times New Roman" w:hAnsi="Times New Roman"/>
          <w:sz w:val="18"/>
          <w:szCs w:val="18"/>
          <w:b w:val="1"/>
          <w:bCs w:val="1"/>
          <w:color w:val="auto"/>
        </w:rPr>
        <w:t>the State Council</w:t>
      </w:r>
      <w:r>
        <w:rPr>
          <w:rFonts w:ascii="Times New Roman" w:cs="Times New Roman" w:eastAsia="Times New Roman" w:hAnsi="Times New Roman"/>
          <w:sz w:val="18"/>
          <w:szCs w:val="18"/>
          <w:color w:val="auto"/>
        </w:rPr>
        <w:t>”) implemented a licensing system for food production and trading activities. A person or entity who engages in food production, food sales, or catering services (“</w:t>
      </w:r>
      <w:r>
        <w:rPr>
          <w:rFonts w:ascii="Times New Roman" w:cs="Times New Roman" w:eastAsia="Times New Roman" w:hAnsi="Times New Roman"/>
          <w:sz w:val="18"/>
          <w:szCs w:val="18"/>
          <w:b w:val="1"/>
          <w:bCs w:val="1"/>
          <w:color w:val="auto"/>
        </w:rPr>
        <w:t>food operator</w:t>
      </w:r>
      <w:r>
        <w:rPr>
          <w:rFonts w:ascii="Times New Roman" w:cs="Times New Roman" w:eastAsia="Times New Roman" w:hAnsi="Times New Roman"/>
          <w:sz w:val="18"/>
          <w:szCs w:val="18"/>
          <w:color w:val="auto"/>
        </w:rPr>
        <w:t xml:space="preserve">”) shall obtain the license in accordance with </w:t>
      </w:r>
      <w:r>
        <w:rPr>
          <w:rFonts w:ascii="Times New Roman" w:cs="Times New Roman" w:eastAsia="Times New Roman" w:hAnsi="Times New Roman"/>
          <w:sz w:val="18"/>
          <w:szCs w:val="18"/>
          <w:i w:val="1"/>
          <w:iCs w:val="1"/>
          <w:color w:val="auto"/>
        </w:rPr>
        <w:t>the Food Safety Law</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According to </w:t>
      </w:r>
      <w:r>
        <w:rPr>
          <w:rFonts w:ascii="Times New Roman" w:cs="Times New Roman" w:eastAsia="Times New Roman" w:hAnsi="Times New Roman"/>
          <w:sz w:val="18"/>
          <w:szCs w:val="18"/>
          <w:i w:val="1"/>
          <w:iCs w:val="1"/>
          <w:color w:val="auto"/>
        </w:rPr>
        <w:t>the Food Safety Law</w:t>
      </w:r>
      <w:r>
        <w:rPr>
          <w:rFonts w:ascii="Times New Roman" w:cs="Times New Roman" w:eastAsia="Times New Roman" w:hAnsi="Times New Roman"/>
          <w:sz w:val="18"/>
          <w:szCs w:val="18"/>
          <w:color w:val="auto"/>
        </w:rPr>
        <w:t xml:space="preserve">, the State Council shall establish a food safety committee whose duties shall be formulated by the State Council. The food safety supervision and administration department under the State Council shall supervise and administer food production and trading activities according to the duties provided by </w:t>
      </w:r>
      <w:r>
        <w:rPr>
          <w:rFonts w:ascii="Times New Roman" w:cs="Times New Roman" w:eastAsia="Times New Roman" w:hAnsi="Times New Roman"/>
          <w:sz w:val="18"/>
          <w:szCs w:val="18"/>
          <w:i w:val="1"/>
          <w:iCs w:val="1"/>
          <w:color w:val="auto"/>
        </w:rPr>
        <w:t>the Food Safety Law</w:t>
      </w:r>
      <w:r>
        <w:rPr>
          <w:rFonts w:ascii="Times New Roman" w:cs="Times New Roman" w:eastAsia="Times New Roman" w:hAnsi="Times New Roman"/>
          <w:sz w:val="18"/>
          <w:szCs w:val="18"/>
          <w:color w:val="auto"/>
        </w:rPr>
        <w:t xml:space="preserve"> and the State Council. In accordance with the duties stipulated by </w:t>
      </w:r>
      <w:r>
        <w:rPr>
          <w:rFonts w:ascii="Times New Roman" w:cs="Times New Roman" w:eastAsia="Times New Roman" w:hAnsi="Times New Roman"/>
          <w:sz w:val="18"/>
          <w:szCs w:val="18"/>
          <w:i w:val="1"/>
          <w:iCs w:val="1"/>
          <w:color w:val="auto"/>
        </w:rPr>
        <w:t>the Food Safety Law</w:t>
      </w:r>
      <w:r>
        <w:rPr>
          <w:rFonts w:ascii="Times New Roman" w:cs="Times New Roman" w:eastAsia="Times New Roman" w:hAnsi="Times New Roman"/>
          <w:sz w:val="18"/>
          <w:szCs w:val="18"/>
          <w:color w:val="auto"/>
        </w:rPr>
        <w:t xml:space="preserve">, the health administrative department under the State Council shall organize the implementation of risk monitoring and risk assessment of food safety and shall formulate and issue national food safety standards together with the food safety supervision and administration department under the State Council. Other relevant departments under the State Council shall undertake these works related to food safety based on their duties stipulated by </w:t>
      </w:r>
      <w:r>
        <w:rPr>
          <w:rFonts w:ascii="Times New Roman" w:cs="Times New Roman" w:eastAsia="Times New Roman" w:hAnsi="Times New Roman"/>
          <w:sz w:val="18"/>
          <w:szCs w:val="18"/>
          <w:i w:val="1"/>
          <w:iCs w:val="1"/>
          <w:color w:val="auto"/>
        </w:rPr>
        <w:t>the Food Safety Law</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The Food Safety Law </w:t>
      </w:r>
      <w:r>
        <w:rPr>
          <w:rFonts w:ascii="Times New Roman" w:cs="Times New Roman" w:eastAsia="Times New Roman" w:hAnsi="Times New Roman"/>
          <w:sz w:val="18"/>
          <w:szCs w:val="18"/>
          <w:color w:val="auto"/>
        </w:rPr>
        <w:t>sets out, as penalties for violation, various legal liabilities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warnings, orders to rectify, confiscations of illegal gains, confiscations of tools, equipment, raw materials, and other articles used for illegal production and operation, fines, recalls and destructions of food made in violation of laws and regulations, orders to suspend production and/or operation, revocations of production and/or operation license, and criminal punishment.</w:t>
      </w:r>
    </w:p>
    <w:p>
      <w:pPr>
        <w:spacing w:after="0" w:line="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The Implementation Regulations of the Food Safety Law of the People’s Republic of China </w:t>
      </w:r>
      <w:r>
        <w:rPr>
          <w:rFonts w:ascii="Times New Roman" w:cs="Times New Roman" w:eastAsia="Times New Roman" w:hAnsi="Times New Roman"/>
          <w:sz w:val="18"/>
          <w:szCs w:val="18"/>
          <w:color w:val="auto"/>
        </w:rPr>
        <w:t>that became</w:t>
      </w:r>
    </w:p>
    <w:p>
      <w:pPr>
        <w:spacing w:after="0" w:line="29"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effective on July 20, 2009, and last amended on October 11, 2019, further specifies detailed measures to be taken for food producers and business operators and penalties that shall be imposed if these required measures not be implemented.</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Food Operation Licensing</w:t>
      </w:r>
    </w:p>
    <w:p>
      <w:pPr>
        <w:spacing w:after="0" w:line="14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On September 30, 2015, China Food and Drug Administration (now merged into the State Administration for Market Regulation, “</w:t>
      </w:r>
      <w:r>
        <w:rPr>
          <w:rFonts w:ascii="Times New Roman" w:cs="Times New Roman" w:eastAsia="Times New Roman" w:hAnsi="Times New Roman"/>
          <w:sz w:val="18"/>
          <w:szCs w:val="18"/>
          <w:b w:val="1"/>
          <w:bCs w:val="1"/>
          <w:color w:val="auto"/>
        </w:rPr>
        <w:t>SAMR</w:t>
      </w:r>
      <w:r>
        <w:rPr>
          <w:rFonts w:ascii="Times New Roman" w:cs="Times New Roman" w:eastAsia="Times New Roman" w:hAnsi="Times New Roman"/>
          <w:sz w:val="18"/>
          <w:szCs w:val="18"/>
          <w:color w:val="auto"/>
        </w:rPr>
        <w:t xml:space="preserve">”) promulgated </w:t>
      </w:r>
      <w:r>
        <w:rPr>
          <w:rFonts w:ascii="Times New Roman" w:cs="Times New Roman" w:eastAsia="Times New Roman" w:hAnsi="Times New Roman"/>
          <w:sz w:val="18"/>
          <w:szCs w:val="18"/>
          <w:i w:val="1"/>
          <w:iCs w:val="1"/>
          <w:color w:val="auto"/>
        </w:rPr>
        <w:t>the Announcement on Using Food Operation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Licenses</w:t>
      </w:r>
      <w:r>
        <w:rPr>
          <w:rFonts w:ascii="Times New Roman" w:cs="Times New Roman" w:eastAsia="Times New Roman" w:hAnsi="Times New Roman"/>
          <w:sz w:val="18"/>
          <w:szCs w:val="18"/>
          <w:color w:val="auto"/>
        </w:rPr>
        <w:t>. Pursuant to</w:t>
      </w:r>
      <w:r>
        <w:rPr>
          <w:rFonts w:ascii="Times New Roman" w:cs="Times New Roman" w:eastAsia="Times New Roman" w:hAnsi="Times New Roman"/>
          <w:sz w:val="18"/>
          <w:szCs w:val="18"/>
          <w:i w:val="1"/>
          <w:iCs w:val="1"/>
          <w:color w:val="auto"/>
        </w:rPr>
        <w:t xml:space="preserve"> the Announcement on Using the Food Operation Licenses</w:t>
      </w:r>
      <w:r>
        <w:rPr>
          <w:rFonts w:ascii="Times New Roman" w:cs="Times New Roman" w:eastAsia="Times New Roman" w:hAnsi="Times New Roman"/>
          <w:sz w:val="18"/>
          <w:szCs w:val="18"/>
          <w:color w:val="auto"/>
        </w:rPr>
        <w:t>, the food service license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replaced by the food operation license.</w:t>
      </w:r>
    </w:p>
    <w:p>
      <w:pPr>
        <w:spacing w:after="0" w:line="10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 xml:space="preserve">On August 31, 2015, China Food and Drug Administration promulgated </w:t>
      </w:r>
      <w:r>
        <w:rPr>
          <w:rFonts w:ascii="Times New Roman" w:cs="Times New Roman" w:eastAsia="Times New Roman" w:hAnsi="Times New Roman"/>
          <w:sz w:val="18"/>
          <w:szCs w:val="18"/>
          <w:i w:val="1"/>
          <w:iCs w:val="1"/>
          <w:color w:val="auto"/>
        </w:rPr>
        <w:t>the Administrative Measures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Food Operation Licensing</w:t>
      </w:r>
      <w:r>
        <w:rPr>
          <w:rFonts w:ascii="Times New Roman" w:cs="Times New Roman" w:eastAsia="Times New Roman" w:hAnsi="Times New Roman"/>
          <w:sz w:val="18"/>
          <w:szCs w:val="18"/>
          <w:color w:val="auto"/>
        </w:rPr>
        <w:t>, which was amended on November 17, 2017 and was repealing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for the Administration of Food Trade Licensing and Recordation on December 1, 2023. According to the Measures for the Administration of Food Trade Licensing and Recordation, the food operator shall obtain a food operation license in accordance with the law. Food operators doing business at different locations or venues must obtain separate and respective food operation licenses for each venue under the principle of one license for one site.</w:t>
      </w:r>
    </w:p>
    <w:p>
      <w:pPr>
        <w:spacing w:after="0" w:line="327"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The food operation license is valid for five years upon its issuance. Food operators shall display their original food operation licenses prominently at their sites of operation. If the licensing items which are indicated on a food operation license change, the food operator shall, within ten business days after the changes take place, apply with the market regulation administrative authority which originally issued the license for alteration of the operation license. Those who engage in food preparation activities but failed to obtain a required food operation license shall be punished by the local food and drug administrative authorities at or above the county level according to Article 122 of </w:t>
      </w:r>
      <w:r>
        <w:rPr>
          <w:rFonts w:ascii="Times New Roman" w:cs="Times New Roman" w:eastAsia="Times New Roman" w:hAnsi="Times New Roman"/>
          <w:sz w:val="18"/>
          <w:szCs w:val="18"/>
          <w:i w:val="1"/>
          <w:iCs w:val="1"/>
          <w:color w:val="auto"/>
        </w:rPr>
        <w:t>the Food Safety Law</w:t>
      </w:r>
      <w:r>
        <w:rPr>
          <w:rFonts w:ascii="Times New Roman" w:cs="Times New Roman" w:eastAsia="Times New Roman" w:hAnsi="Times New Roman"/>
          <w:sz w:val="18"/>
          <w:szCs w:val="18"/>
          <w:color w:val="auto"/>
        </w:rPr>
        <w:t>, which provided that the authorities shall confiscate their illegal income, the food or food additives illegally produced or dealt in, and the tools,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equipment, raw materials, and other items used for illegal production or operation, and impose a fine that is not less than RMB50,000 but not more than RMB100,000 on them if the goods value of the food or food additives illegally produced or dealt in is less than RMB10,000 or a fine that is not less than 10 times but not more than 20 times of the value of the goods if the value of the goods is RMB10,000 or more.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Food Recall System</w:t>
      </w:r>
    </w:p>
    <w:p>
      <w:pPr>
        <w:spacing w:after="0" w:line="144"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i w:val="1"/>
          <w:iCs w:val="1"/>
          <w:color w:val="auto"/>
        </w:rPr>
        <w:t xml:space="preserve">The Food Recall System According to the Administrative Measures for Food Recall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Administrative</w:t>
      </w:r>
    </w:p>
    <w:p>
      <w:pPr>
        <w:spacing w:after="0" w:line="31"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Measures for Food Recall</w:t>
      </w:r>
      <w:r>
        <w:rPr>
          <w:rFonts w:ascii="Times New Roman" w:cs="Times New Roman" w:eastAsia="Times New Roman" w:hAnsi="Times New Roman"/>
          <w:sz w:val="18"/>
          <w:szCs w:val="18"/>
          <w:color w:val="auto"/>
        </w:rPr>
        <w:t>”), was promulgated by China Food and Drug Administration on March 11, 2015,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the most recently amended and effective from October 23, 2020, food producers and operators shall, according to law, assume primary responsibilities for food safety, by establishing a sound management system, collecting and analyzing food safety information and performing legal duties of the cease of production and operation as well as recall and disposal of unsafe food. Where food producers or operators find the food under selling unsafe, they must immediately suspend the operations, inform relevant food producers and business operators, notify consumers, and take necessary measures to mitigate food safety risks. When any food operator violates </w:t>
      </w:r>
      <w:r>
        <w:rPr>
          <w:rFonts w:ascii="Times New Roman" w:cs="Times New Roman" w:eastAsia="Times New Roman" w:hAnsi="Times New Roman"/>
          <w:sz w:val="18"/>
          <w:szCs w:val="18"/>
          <w:i w:val="1"/>
          <w:iCs w:val="1"/>
          <w:color w:val="auto"/>
        </w:rPr>
        <w:t>the Administrative Measures for Food Recall</w:t>
      </w:r>
      <w:r>
        <w:rPr>
          <w:rFonts w:ascii="Times New Roman" w:cs="Times New Roman" w:eastAsia="Times New Roman" w:hAnsi="Times New Roman"/>
          <w:sz w:val="18"/>
          <w:szCs w:val="18"/>
          <w:color w:val="auto"/>
        </w:rPr>
        <w:t xml:space="preserve"> and does not suspend the operation or proactively recall unsafe food promptly, the competent authorities shall issue warnings to it and impose fines between RMB10,000 and RMB30,000.</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Online Catering Services</w:t>
      </w:r>
    </w:p>
    <w:p>
      <w:pPr>
        <w:spacing w:after="0" w:line="16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i w:val="1"/>
          <w:iCs w:val="1"/>
          <w:color w:val="auto"/>
        </w:rPr>
        <w:t>Measures for the Supervision and Administration of the Safety of Food Offered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through Online Catering Services </w:t>
      </w:r>
      <w:r>
        <w:rPr>
          <w:rFonts w:ascii="Times New Roman" w:cs="Times New Roman" w:eastAsia="Times New Roman" w:hAnsi="Times New Roman"/>
          <w:sz w:val="18"/>
          <w:szCs w:val="18"/>
          <w:color w:val="auto"/>
        </w:rPr>
        <w:t>that became effective on January 1, 2018, and amended on October 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online catering service providers shall have their own physical venues and have obtained the food operation licenses according to the law, and shall carry out business activities pursuant to the business forms and business items specified on their own food operation licenses, and they shall not operate beyond the business scope.</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PRODUCT QUALITY</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According to </w:t>
      </w:r>
      <w:r>
        <w:rPr>
          <w:rFonts w:ascii="Times New Roman" w:cs="Times New Roman" w:eastAsia="Times New Roman" w:hAnsi="Times New Roman"/>
          <w:sz w:val="18"/>
          <w:szCs w:val="18"/>
          <w:i w:val="1"/>
          <w:iCs w:val="1"/>
          <w:color w:val="auto"/>
        </w:rPr>
        <w:t>the Product Quality Law of the People’s Republic of China</w:t>
      </w:r>
      <w:r>
        <w:rPr>
          <w:rFonts w:ascii="Times New Roman" w:cs="Times New Roman" w:eastAsia="Times New Roman" w:hAnsi="Times New Roman"/>
          <w:sz w:val="18"/>
          <w:szCs w:val="18"/>
          <w:color w:val="auto"/>
        </w:rPr>
        <w:t xml:space="preserve"> promulgated by the SCNPC</w:t>
      </w:r>
    </w:p>
    <w:p>
      <w:pPr>
        <w:spacing w:after="0" w:line="29"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on February 22, 1993, and most recently amended on December 29, 2018, and effective from the same date, producers shall be responsible for the quality of their products and sellers shall adopt measures to maintain the quality of products for sale. Where a defective product causes physical injury or damage to a third party’s property, the victim may claim compensation from the manufacturer or the seller of the product. If the seller pays compensation and it is the manufacturer that should bear the liability, the seller has a right of recourse against the manufacturer, and vice versa, if the manufacturer pays compensation and it is the seller that is liable, the manufacturer has a right of recourse.</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CONSUMER PROTECTION</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According to </w:t>
      </w:r>
      <w:r>
        <w:rPr>
          <w:rFonts w:ascii="Times New Roman" w:cs="Times New Roman" w:eastAsia="Times New Roman" w:hAnsi="Times New Roman"/>
          <w:sz w:val="18"/>
          <w:szCs w:val="18"/>
          <w:i w:val="1"/>
          <w:iCs w:val="1"/>
          <w:color w:val="auto"/>
        </w:rPr>
        <w:t>the Consumers Rights and Interests Protection Law of the People’s Republic of China</w:t>
      </w:r>
    </w:p>
    <w:p>
      <w:pPr>
        <w:spacing w:after="0" w:line="29"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Consumer Protection Law</w:t>
      </w:r>
      <w:r>
        <w:rPr>
          <w:rFonts w:ascii="Times New Roman" w:cs="Times New Roman" w:eastAsia="Times New Roman" w:hAnsi="Times New Roman"/>
          <w:sz w:val="18"/>
          <w:szCs w:val="18"/>
          <w:color w:val="auto"/>
        </w:rPr>
        <w:t>”), which was promulgated in 1993 by SCNPC and latest amended on October 25, 2013 and effective from March 15, 2014, it imposes stringent requirements and obligations on business operators including, among others, (i) guarantee that the products and services they provide meet the requirements for personal safety or property security, (ii) provide consumers with authentic and complete information about the quality, function, usage and term of validity of the products or services,</w:t>
      </w:r>
    </w:p>
    <w:p>
      <w:pPr>
        <w:spacing w:after="0" w:line="1" w:lineRule="exact"/>
        <w:rPr>
          <w:sz w:val="20"/>
          <w:szCs w:val="20"/>
          <w:color w:val="auto"/>
        </w:rPr>
      </w:pPr>
    </w:p>
    <w:p>
      <w:pPr>
        <w:jc w:val="both"/>
        <w:ind w:left="1260" w:right="419"/>
        <w:spacing w:after="0" w:line="242" w:lineRule="auto"/>
        <w:tabs>
          <w:tab w:leader="none" w:pos="163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actual quality and functionality of products or services are consistent with advertising materials, product descriptions or samples, failure of which may subject business operators to civil liabilities such as repairing, remaking, exchanging or returning of commodities, making up shortage, refunding purchase prices and service fees, and compensation, and even subject the business operators to criminal penalties if business operators commit crimes by infringing the legitimate rights and interests of consumers.</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COMMERCIAL FRANCHISING</w:t>
      </w:r>
    </w:p>
    <w:p>
      <w:pPr>
        <w:spacing w:after="0" w:line="158" w:lineRule="exact"/>
        <w:rPr>
          <w:sz w:val="20"/>
          <w:szCs w:val="20"/>
          <w:color w:val="auto"/>
        </w:rPr>
      </w:pPr>
    </w:p>
    <w:p>
      <w:pPr>
        <w:jc w:val="both"/>
        <w:ind w:left="1260" w:right="419" w:firstLine="360"/>
        <w:spacing w:after="0" w:line="248"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i w:val="1"/>
          <w:iCs w:val="1"/>
          <w:color w:val="auto"/>
        </w:rPr>
        <w:t>the Regulations on the Administration of Commercial Franchising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Franchising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Regulations</w:t>
      </w:r>
      <w:r>
        <w:rPr>
          <w:rFonts w:ascii="Times New Roman" w:cs="Times New Roman" w:eastAsia="Times New Roman" w:hAnsi="Times New Roman"/>
          <w:sz w:val="18"/>
          <w:szCs w:val="18"/>
          <w:color w:val="auto"/>
        </w:rPr>
        <w:t>”), which promulgated by the State Council on February 6, 2007, and took effect on May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2007, commercial franchising refers to the business activities where a franchisor, being an enterprise possessing registered trademarks, corporate logos, patents, proprietary technology, or other business resources, licenses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 xml:space="preserve">through contracts its business resources to the franchisees, being other business operators, and the franchisees carry out business operation under a uniform business model and pay franchising fees to the franchisor pursuant to the contracts. </w:t>
      </w:r>
      <w:r>
        <w:rPr>
          <w:rFonts w:ascii="Times New Roman" w:cs="Times New Roman" w:eastAsia="Times New Roman" w:hAnsi="Times New Roman"/>
          <w:sz w:val="18"/>
          <w:szCs w:val="18"/>
          <w:i w:val="1"/>
          <w:iCs w:val="1"/>
          <w:color w:val="auto"/>
        </w:rPr>
        <w:t>The Franchising Regulations</w:t>
      </w:r>
      <w:r>
        <w:rPr>
          <w:rFonts w:ascii="Times New Roman" w:cs="Times New Roman" w:eastAsia="Times New Roman" w:hAnsi="Times New Roman"/>
          <w:sz w:val="18"/>
          <w:szCs w:val="18"/>
          <w:color w:val="auto"/>
        </w:rPr>
        <w:t xml:space="preserve"> require that any enterprise engaging in trans-provincial franchise business shall register with MOFCOM, and any enterprise engaging in franchise business within one province shall register with the local branches of MOFCOM. The Franchising Regulations also set forth a number of requirements for the franchisors to govern the franchise contracts. For example, the franchisors and franchisees are required to enter into franchising agreements containing certain required terms, and the franchise term thereunder shall be no less than three years unless otherwise agreed by the franchisee. On December 12, 2011, MOFCOM amended </w:t>
      </w:r>
      <w:r>
        <w:rPr>
          <w:rFonts w:ascii="Times New Roman" w:cs="Times New Roman" w:eastAsia="Times New Roman" w:hAnsi="Times New Roman"/>
          <w:sz w:val="18"/>
          <w:szCs w:val="18"/>
          <w:i w:val="1"/>
          <w:iCs w:val="1"/>
          <w:color w:val="auto"/>
        </w:rPr>
        <w:t>the Administrative Measures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Filing of Commercial Franchisees</w:t>
      </w:r>
      <w:r>
        <w:rPr>
          <w:rFonts w:ascii="Times New Roman" w:cs="Times New Roman" w:eastAsia="Times New Roman" w:hAnsi="Times New Roman"/>
          <w:sz w:val="18"/>
          <w:szCs w:val="18"/>
          <w:color w:val="auto"/>
        </w:rPr>
        <w:t>, which was last amended on December 29, 2023, and sets forth in detail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procedures and documents required for such filing, including, among other things, within 15 days after executing the first franchise contracts, the franchisor shall file with MOFCOM or its local branches for the record, and if there occurs any change to the franchisor’s business registration, business resources, and the distribution of all franchisee outlets throughout China, the franchisor shall apply to MOFCOM for alteration within 30 days after the occurrence of such change. Furthermore, within the first quarter of each year, the franchisor shall report the execution, revocation, termination, and renewal of the franchise contracts occurring in the previous year to MOFCOM or its local branches, the failure of which may subject the franchisor to an order of rectification and a fine up to RMB50,000. Pursuant to </w:t>
      </w:r>
      <w:r>
        <w:rPr>
          <w:rFonts w:ascii="Times New Roman" w:cs="Times New Roman" w:eastAsia="Times New Roman" w:hAnsi="Times New Roman"/>
          <w:sz w:val="18"/>
          <w:szCs w:val="18"/>
          <w:i w:val="1"/>
          <w:iCs w:val="1"/>
          <w:color w:val="auto"/>
        </w:rPr>
        <w:t>the Administrative Measures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the Information Disclosure of Commercial Franchising</w:t>
      </w:r>
      <w:r>
        <w:rPr>
          <w:rFonts w:ascii="Times New Roman" w:cs="Times New Roman" w:eastAsia="Times New Roman" w:hAnsi="Times New Roman"/>
          <w:sz w:val="18"/>
          <w:szCs w:val="18"/>
          <w:color w:val="auto"/>
        </w:rPr>
        <w:t>, which was promulgated by the Ministry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Commerce on April 30, 2007, and later amended on February 23, 2012, and effective from April 1, 2012, the franchisor shall disclose to franchisees a list of information in writing at least 30 days prior to the execution of the franchising agreements, such as basic information of the franchisor and the franchise activities, basic information of business resources owned by the franchisor and basic information on franchise expenses.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SINGLE-PURPOSE COMMERCIAL PREPAID CARDS</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Administrative Measures for Single-Purpose Commercial Prepaid Cards (for Trial Implementation) was issued on September 21, 2012, and amended on August 18, 2016. It applies to businesses in the retail, accommodation and catering, and residential service industries that conduct single-purpose commercial prepaid card business within China. A card issuer is required to make the relevant filings within 30 days from the commencement of its single-purpose card business. If a card issuer violates this requirement, the local commerce department at or above the county level where the violation occurs will order the enterprise to make corrections within a prescribed time limit. Failure to comply within the time limit may result in a fine of more than RMB10,000 but less than RMB30,000.</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LAWS AND REGULATIONS ON FOREIGN TRADE</w:t>
      </w:r>
    </w:p>
    <w:p>
      <w:pPr>
        <w:spacing w:after="0" w:line="160"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According to </w:t>
      </w:r>
      <w:r>
        <w:rPr>
          <w:rFonts w:ascii="Times New Roman" w:cs="Times New Roman" w:eastAsia="Times New Roman" w:hAnsi="Times New Roman"/>
          <w:sz w:val="18"/>
          <w:szCs w:val="18"/>
          <w:i w:val="1"/>
          <w:iCs w:val="1"/>
          <w:color w:val="auto"/>
        </w:rPr>
        <w:t>the Law on Foreign Trade of the People’s Republic of China</w:t>
      </w:r>
      <w:r>
        <w:rPr>
          <w:rFonts w:ascii="Times New Roman" w:cs="Times New Roman" w:eastAsia="Times New Roman" w:hAnsi="Times New Roman"/>
          <w:sz w:val="18"/>
          <w:szCs w:val="18"/>
          <w:color w:val="auto"/>
        </w:rPr>
        <w:t xml:space="preserve"> issued on May 12, 1994, and newly amended and implemented on December 30, 2022, by SCNPC, and </w:t>
      </w:r>
      <w:r>
        <w:rPr>
          <w:rFonts w:ascii="Times New Roman" w:cs="Times New Roman" w:eastAsia="Times New Roman" w:hAnsi="Times New Roman"/>
          <w:sz w:val="18"/>
          <w:szCs w:val="18"/>
          <w:i w:val="1"/>
          <w:iCs w:val="1"/>
          <w:color w:val="auto"/>
        </w:rPr>
        <w:t>the Measures for Registration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Foreign Trade Operators </w:t>
      </w:r>
      <w:r>
        <w:rPr>
          <w:rFonts w:ascii="Times New Roman" w:cs="Times New Roman" w:eastAsia="Times New Roman" w:hAnsi="Times New Roman"/>
          <w:sz w:val="18"/>
          <w:szCs w:val="18"/>
          <w:color w:val="auto"/>
        </w:rPr>
        <w:t>issued on June 25, 2004, becoming effective from July 1, 2004, and newly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implemented on May 10, 2021, by the MOFCOM, foreign trade operators engaging in the import and export of goods or technologies in China shall register with the MOFCOM or an agency entrusted by the MOFCOM. If one fails to complete such registration, the customs shall not process the import and export declaration, inspection, and clearance.</w:t>
      </w:r>
    </w:p>
    <w:p>
      <w:pPr>
        <w:spacing w:after="0" w:line="115"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According to </w:t>
      </w:r>
      <w:r>
        <w:rPr>
          <w:rFonts w:ascii="Times New Roman" w:cs="Times New Roman" w:eastAsia="Times New Roman" w:hAnsi="Times New Roman"/>
          <w:sz w:val="18"/>
          <w:szCs w:val="18"/>
          <w:i w:val="1"/>
          <w:iCs w:val="1"/>
          <w:color w:val="auto"/>
        </w:rPr>
        <w:t>the Administrative Measures of the People’s Republic of China on Import and Export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Food Safety </w:t>
      </w:r>
      <w:r>
        <w:rPr>
          <w:rFonts w:ascii="Times New Roman" w:cs="Times New Roman" w:eastAsia="Times New Roman" w:hAnsi="Times New Roman"/>
          <w:sz w:val="18"/>
          <w:szCs w:val="18"/>
          <w:color w:val="auto"/>
        </w:rPr>
        <w:t>promulgated by the General Administration of Customs of the PRC on April 12, 2021,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on January 1, 2022, manufactures of food for export shall file with the local customs and ensure that the packaging and transportation of export food comply with food safety requirements. The customs shall conduct an inspection of the exported food at the port and those who failed the inspection shall not be allowed to export. In addition, the production of food for export should comply with the food safety and</w:t>
      </w:r>
    </w:p>
    <w:p>
      <w:pPr>
        <w:spacing w:after="0" w:line="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 xml:space="preserve">food hygiene requirements as set out in </w:t>
      </w:r>
      <w:r>
        <w:rPr>
          <w:rFonts w:ascii="Times New Roman" w:cs="Times New Roman" w:eastAsia="Times New Roman" w:hAnsi="Times New Roman"/>
          <w:sz w:val="18"/>
          <w:szCs w:val="18"/>
          <w:i w:val="1"/>
          <w:iCs w:val="1"/>
          <w:color w:val="auto"/>
        </w:rPr>
        <w:t>the Announcement on the Issuance of Safety and Hygiene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Requirements and Products Catalogue for Manufacturers of Food for Export </w:t>
      </w:r>
      <w:r>
        <w:rPr>
          <w:rFonts w:ascii="Times New Roman" w:cs="Times New Roman" w:eastAsia="Times New Roman" w:hAnsi="Times New Roman"/>
          <w:sz w:val="18"/>
          <w:szCs w:val="18"/>
          <w:color w:val="auto"/>
        </w:rPr>
        <w:t>issued by the Certification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Accreditation Administration of the PRC on September 14, 2011, and implemented from October 1, 2011.</w:t>
      </w:r>
    </w:p>
    <w:p>
      <w:pPr>
        <w:spacing w:after="0" w:line="103" w:lineRule="exact"/>
        <w:rPr>
          <w:sz w:val="20"/>
          <w:szCs w:val="20"/>
          <w:color w:val="auto"/>
        </w:rPr>
      </w:pPr>
    </w:p>
    <w:p>
      <w:pPr>
        <w:jc w:val="both"/>
        <w:ind w:left="1260" w:right="419" w:firstLine="360"/>
        <w:spacing w:after="0" w:line="276" w:lineRule="auto"/>
        <w:rPr>
          <w:sz w:val="20"/>
          <w:szCs w:val="20"/>
          <w:color w:val="auto"/>
        </w:rPr>
      </w:pPr>
      <w:r>
        <w:rPr>
          <w:rFonts w:ascii="Times New Roman" w:cs="Times New Roman" w:eastAsia="Times New Roman" w:hAnsi="Times New Roman"/>
          <w:sz w:val="18"/>
          <w:szCs w:val="18"/>
          <w:color w:val="auto"/>
        </w:rPr>
        <w:t xml:space="preserve">According to </w:t>
      </w:r>
      <w:r>
        <w:rPr>
          <w:rFonts w:ascii="Times New Roman" w:cs="Times New Roman" w:eastAsia="Times New Roman" w:hAnsi="Times New Roman"/>
          <w:sz w:val="18"/>
          <w:szCs w:val="18"/>
          <w:i w:val="1"/>
          <w:iCs w:val="1"/>
          <w:color w:val="auto"/>
        </w:rPr>
        <w:t>the Customs Law of the People’s Republic of China</w:t>
      </w:r>
      <w:r>
        <w:rPr>
          <w:rFonts w:ascii="Times New Roman" w:cs="Times New Roman" w:eastAsia="Times New Roman" w:hAnsi="Times New Roman"/>
          <w:sz w:val="18"/>
          <w:szCs w:val="18"/>
          <w:color w:val="auto"/>
        </w:rPr>
        <w:t xml:space="preserve"> issued on January 22, 1987, and newly amended and implemented on April 29, 2021, by SCNPC, and other relevant laws and regulations, unless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otherwise stipulated, the consignee or consignor of goods imported and exported may handle customs declaration and taxation on their own, or through an entrusted customs broker. The consignee or consignor of goods imported and exported, and the customs broker handling customs declaration shall register with the customs in accordance with the law.</w:t>
      </w:r>
    </w:p>
    <w:p>
      <w:pPr>
        <w:spacing w:after="0" w:line="110"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Law on Import and Export Commodity Inspection of the People’s Republic of China</w:t>
      </w:r>
      <w:r>
        <w:rPr>
          <w:rFonts w:ascii="Times New Roman" w:cs="Times New Roman" w:eastAsia="Times New Roman" w:hAnsi="Times New Roman"/>
          <w:sz w:val="18"/>
          <w:szCs w:val="18"/>
          <w:color w:val="auto"/>
        </w:rPr>
        <w:t xml:space="preserve"> issued on February 21, 1989, and newly amended and implemented on April 29, 2021, by SCNPC, and its implementing ordinances, the inspection of import and export commodities shall be implemented in accordance with the principles of protecting human health and safety, protecting the life and health of animals or plants, protecting the environment, preventing fraud and safeguarding national security. The national commodity inspection authority formulates and adjusts the catalogue of import and export commodities that must be inspected, then announces the import and export commodities included in the catalogue. The inspection shall be carried out in accordance with the mandatory requirements of the national technical regulations; if the mandatory requirements of the national technical regulations have not yet been formulated, they shall be formulated in a timely manner in accordance with the law, and before they are formulated, the inspection may be carried out with reference to relevant foreign standards specified by national commodity inspection authority.</w:t>
      </w:r>
    </w:p>
    <w:p>
      <w:pPr>
        <w:spacing w:after="0" w:line="340"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According to </w:t>
      </w:r>
      <w:r>
        <w:rPr>
          <w:rFonts w:ascii="Times New Roman" w:cs="Times New Roman" w:eastAsia="Times New Roman" w:hAnsi="Times New Roman"/>
          <w:sz w:val="18"/>
          <w:szCs w:val="18"/>
          <w:i w:val="1"/>
          <w:iCs w:val="1"/>
          <w:color w:val="auto"/>
        </w:rPr>
        <w:t>the Ordinances on the Administration of the Import and Export of Goods of the People’s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Republic of China</w:t>
      </w:r>
      <w:r>
        <w:rPr>
          <w:rFonts w:ascii="Times New Roman" w:cs="Times New Roman" w:eastAsia="Times New Roman" w:hAnsi="Times New Roman"/>
          <w:sz w:val="18"/>
          <w:szCs w:val="18"/>
          <w:color w:val="auto"/>
        </w:rPr>
        <w:t>, issued on December 10, 2001, by the State Council and becoming effective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1, 2002, and latest revised on March 10, 2024, China implements a unified management system for the import and export of goods. China permits the free import and export of goods and protects fair and orderly trade in the import and export of goods in accordance with the law. Except for goods whose import and export are expressly prohibited or restricted by laws and administrative regulations, no authority or individual may set up or maintain prohibitions or restrictions on the import and export of goods.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THE SANITATION OF THE PUBLIC ASSEMBLY VENUE</w:t>
      </w:r>
    </w:p>
    <w:p>
      <w:pPr>
        <w:spacing w:after="0" w:line="146"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The Regulation for the Administration of Sanitation of the Public Assembly Venue</w:t>
      </w:r>
      <w:r>
        <w:rPr>
          <w:rFonts w:ascii="Times New Roman" w:cs="Times New Roman" w:eastAsia="Times New Roman" w:hAnsi="Times New Roman"/>
          <w:sz w:val="18"/>
          <w:szCs w:val="18"/>
          <w:color w:val="auto"/>
        </w:rPr>
        <w:t>, as effective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April 1, 1987, and latest amended on December 6, 2024, and </w:t>
      </w:r>
      <w:r>
        <w:rPr>
          <w:rFonts w:ascii="Times New Roman" w:cs="Times New Roman" w:eastAsia="Times New Roman" w:hAnsi="Times New Roman"/>
          <w:sz w:val="18"/>
          <w:szCs w:val="18"/>
          <w:i w:val="1"/>
          <w:iCs w:val="1"/>
          <w:color w:val="auto"/>
        </w:rPr>
        <w:t>the Implementation Rules for the Regulation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Administration of Sanitation of the Public Assembly Venue</w:t>
      </w:r>
      <w:r>
        <w:rPr>
          <w:rFonts w:ascii="Times New Roman" w:cs="Times New Roman" w:eastAsia="Times New Roman" w:hAnsi="Times New Roman"/>
          <w:sz w:val="18"/>
          <w:szCs w:val="18"/>
          <w:color w:val="auto"/>
        </w:rPr>
        <w:t>, as effective on December 26, 2017,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promulgated by the State Council and the Ministry of Health respectively. The regulations were adopted to create favorable and sanitary conditions for the public assembly venues, prevent disease transmission and safeguard people’s health. Depending on the requirements of the local health administrative department, a restaurant is required to obtain a public assembly venue hygiene license from the local health administrative department after it applies for a business license to operate its business.</w:t>
      </w:r>
    </w:p>
    <w:p>
      <w:pPr>
        <w:spacing w:after="0" w:line="117"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Decision of the State Council on the Integration of Health Permits and Food Business Licenses in Public Places for Restaurant Services</w:t>
      </w:r>
      <w:r>
        <w:rPr>
          <w:rFonts w:ascii="Times New Roman" w:cs="Times New Roman" w:eastAsia="Times New Roman" w:hAnsi="Times New Roman"/>
          <w:sz w:val="18"/>
          <w:szCs w:val="18"/>
          <w:color w:val="auto"/>
        </w:rPr>
        <w:t>, which was promulgated by the State Council on February 3,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cancels the hygiene permits issued by the local health authorities for four kinds of public places, including restaurants, cafes, bars, and teahouses, and integrates the licensing item of the food safety into the food operation license issued by the food and drug regulatory authorities.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E-COMMERCE ACTIVITIES</w:t>
      </w:r>
    </w:p>
    <w:p>
      <w:pPr>
        <w:spacing w:after="0" w:line="160"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On August 31, 2018, the SCNPC promulgated </w:t>
      </w:r>
      <w:r>
        <w:rPr>
          <w:rFonts w:ascii="Times New Roman" w:cs="Times New Roman" w:eastAsia="Times New Roman" w:hAnsi="Times New Roman"/>
          <w:sz w:val="18"/>
          <w:szCs w:val="18"/>
          <w:i w:val="1"/>
          <w:iCs w:val="1"/>
          <w:color w:val="auto"/>
        </w:rPr>
        <w:t>the E-Commerce Law of the People’s Republic of China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E-Commerce Law</w:t>
      </w:r>
      <w:r>
        <w:rPr>
          <w:rFonts w:ascii="Times New Roman" w:cs="Times New Roman" w:eastAsia="Times New Roman" w:hAnsi="Times New Roman"/>
          <w:sz w:val="18"/>
          <w:szCs w:val="18"/>
          <w:color w:val="auto"/>
        </w:rPr>
        <w:t xml:space="preserve">”), which became effective on January 1, 2019. Business activities conducted online to sell commodities or offer services shall be governed by </w:t>
      </w:r>
      <w:r>
        <w:rPr>
          <w:rFonts w:ascii="Times New Roman" w:cs="Times New Roman" w:eastAsia="Times New Roman" w:hAnsi="Times New Roman"/>
          <w:sz w:val="18"/>
          <w:szCs w:val="18"/>
          <w:i w:val="1"/>
          <w:iCs w:val="1"/>
          <w:color w:val="auto"/>
        </w:rPr>
        <w:t>the E-Commerce Law</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i w:val="1"/>
          <w:iCs w:val="1"/>
          <w:color w:val="auto"/>
        </w:rPr>
        <w:t>the E-Commerce Law</w:t>
      </w:r>
      <w:r>
        <w:rPr>
          <w:rFonts w:ascii="Times New Roman" w:cs="Times New Roman" w:eastAsia="Times New Roman" w:hAnsi="Times New Roman"/>
          <w:sz w:val="18"/>
          <w:szCs w:val="18"/>
          <w:color w:val="auto"/>
        </w:rPr>
        <w:t>, e-commerce operators that engage in the business activities of selling commodities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services through the internet and other information networks include e-commerce platform operators, intra-platform business operators, and other e-commerce operators that sell commodities or offer services through a self-built website or other network services.</w:t>
      </w:r>
    </w:p>
    <w:p>
      <w:pPr>
        <w:spacing w:after="0" w:line="10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E-commerce operators must fulfill market entity registration (unless no such registration is required by law and administrative regulations) and obtain the relevant administrative licenses for conducting those operational activities if it is required by law to obtain.</w:t>
      </w: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ENVIRONMENTAL PROTECTION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Protection Law</w:t>
      </w:r>
    </w:p>
    <w:p>
      <w:pPr>
        <w:spacing w:after="0" w:line="158" w:lineRule="exact"/>
        <w:rPr>
          <w:sz w:val="20"/>
          <w:szCs w:val="20"/>
          <w:color w:val="auto"/>
        </w:rPr>
      </w:pPr>
    </w:p>
    <w:p>
      <w:pPr>
        <w:jc w:val="both"/>
        <w:ind w:left="1260" w:right="419" w:firstLine="360"/>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The Environmental Protection Law of the People’s Republic of China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the Environmental Protection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was promulgated and effective on December 26, 1989, and most recently amended on April 24, 2014.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The Environmental Protection Law </w:t>
      </w:r>
      <w:r>
        <w:rPr>
          <w:rFonts w:ascii="Times New Roman" w:cs="Times New Roman" w:eastAsia="Times New Roman" w:hAnsi="Times New Roman"/>
          <w:sz w:val="18"/>
          <w:szCs w:val="18"/>
          <w:color w:val="auto"/>
        </w:rPr>
        <w:t>has been formulated to protect and improve both the living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ecological environment, preventing and controlling pollution and other public hazards, and safeguarding people’s health.</w:t>
      </w:r>
    </w:p>
    <w:p>
      <w:pPr>
        <w:spacing w:after="0" w:line="321"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 xml:space="preserve">According to the provisions of </w:t>
      </w:r>
      <w:r>
        <w:rPr>
          <w:rFonts w:ascii="Times New Roman" w:cs="Times New Roman" w:eastAsia="Times New Roman" w:hAnsi="Times New Roman"/>
          <w:sz w:val="18"/>
          <w:szCs w:val="18"/>
          <w:i w:val="1"/>
          <w:iCs w:val="1"/>
          <w:color w:val="auto"/>
        </w:rPr>
        <w:t>the Environmental Protection Law</w:t>
      </w:r>
      <w:r>
        <w:rPr>
          <w:rFonts w:ascii="Times New Roman" w:cs="Times New Roman" w:eastAsia="Times New Roman" w:hAnsi="Times New Roman"/>
          <w:sz w:val="18"/>
          <w:szCs w:val="18"/>
          <w:color w:val="auto"/>
        </w:rPr>
        <w:t xml:space="preserve">, in addition to other relevant laws and regulations of the PRC, the Ministry of Environmental Protection and its local branches are responsible for administering and supervising environmental protection matters. Pursuant to </w:t>
      </w:r>
      <w:r>
        <w:rPr>
          <w:rFonts w:ascii="Times New Roman" w:cs="Times New Roman" w:eastAsia="Times New Roman" w:hAnsi="Times New Roman"/>
          <w:sz w:val="18"/>
          <w:szCs w:val="18"/>
          <w:i w:val="1"/>
          <w:iCs w:val="1"/>
          <w:color w:val="auto"/>
        </w:rPr>
        <w:t>the Environmental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Protection Law</w:t>
      </w:r>
      <w:r>
        <w:rPr>
          <w:rFonts w:ascii="Times New Roman" w:cs="Times New Roman" w:eastAsia="Times New Roman" w:hAnsi="Times New Roman"/>
          <w:sz w:val="18"/>
          <w:szCs w:val="18"/>
          <w:color w:val="auto"/>
        </w:rPr>
        <w:t>, construction projects that have environmental impact shall be subject to environmental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assessment. Installations for the prevention and control of pollution in construction projects must be designed, built, and commissioned simultaneously with the principal construction plan of the project. Such installations shall not be dismantled or left idle without permission from the relevant government authorities.</w:t>
      </w:r>
    </w:p>
    <w:p>
      <w:pPr>
        <w:spacing w:after="0" w:line="324"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 xml:space="preserve">Consequences of violations of </w:t>
      </w:r>
      <w:r>
        <w:rPr>
          <w:rFonts w:ascii="Times New Roman" w:cs="Times New Roman" w:eastAsia="Times New Roman" w:hAnsi="Times New Roman"/>
          <w:sz w:val="18"/>
          <w:szCs w:val="18"/>
          <w:i w:val="1"/>
          <w:iCs w:val="1"/>
          <w:color w:val="auto"/>
        </w:rPr>
        <w:t>the Environmental Protection Law</w:t>
      </w:r>
      <w:r>
        <w:rPr>
          <w:rFonts w:ascii="Times New Roman" w:cs="Times New Roman" w:eastAsia="Times New Roman" w:hAnsi="Times New Roman"/>
          <w:sz w:val="18"/>
          <w:szCs w:val="18"/>
          <w:color w:val="auto"/>
        </w:rPr>
        <w:t xml:space="preserve"> include warnings, fines, rectification within a limited time, forced cease of operation, forced reinstallation of dismantled installations for the prevention and control of pollution or forced use of those left idle, forced shutdown, or criminal punishment.</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Law on Environment Impact Assessment</w:t>
      </w:r>
    </w:p>
    <w:p>
      <w:pPr>
        <w:spacing w:after="0" w:line="146"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i w:val="1"/>
          <w:iCs w:val="1"/>
          <w:color w:val="auto"/>
        </w:rPr>
        <w:t>the Law of the People’s Republic of China on Environment Impact Assessment</w:t>
      </w:r>
      <w:r>
        <w:rPr>
          <w:rFonts w:ascii="Times New Roman" w:cs="Times New Roman" w:eastAsia="Times New Roman" w:hAnsi="Times New Roman"/>
          <w:sz w:val="18"/>
          <w:szCs w:val="18"/>
          <w:color w:val="auto"/>
        </w:rPr>
        <w:t xml:space="preserve"> issued on October 28, 2002, and most recently amended on December 29, 2018, the State Council implemented an environmental impact assessment (“</w:t>
      </w:r>
      <w:r>
        <w:rPr>
          <w:rFonts w:ascii="Times New Roman" w:cs="Times New Roman" w:eastAsia="Times New Roman" w:hAnsi="Times New Roman"/>
          <w:sz w:val="18"/>
          <w:szCs w:val="18"/>
          <w:b w:val="1"/>
          <w:bCs w:val="1"/>
          <w:color w:val="auto"/>
        </w:rPr>
        <w:t>EIA</w:t>
      </w:r>
      <w:r>
        <w:rPr>
          <w:rFonts w:ascii="Times New Roman" w:cs="Times New Roman" w:eastAsia="Times New Roman" w:hAnsi="Times New Roman"/>
          <w:sz w:val="18"/>
          <w:szCs w:val="18"/>
          <w:color w:val="auto"/>
        </w:rPr>
        <w:t>”) to classify construction projects according to the impact of the construction projects on the environment. Constructing entities shall prepare an environmental impact report (“</w:t>
      </w:r>
      <w:r>
        <w:rPr>
          <w:rFonts w:ascii="Times New Roman" w:cs="Times New Roman" w:eastAsia="Times New Roman" w:hAnsi="Times New Roman"/>
          <w:sz w:val="18"/>
          <w:szCs w:val="18"/>
          <w:b w:val="1"/>
          <w:bCs w:val="1"/>
          <w:color w:val="auto"/>
        </w:rPr>
        <w:t>EIR</w:t>
      </w:r>
      <w:r>
        <w:rPr>
          <w:rFonts w:ascii="Times New Roman" w:cs="Times New Roman" w:eastAsia="Times New Roman" w:hAnsi="Times New Roman"/>
          <w:sz w:val="18"/>
          <w:szCs w:val="18"/>
          <w:color w:val="auto"/>
        </w:rPr>
        <w:t>”) or an environmental impact statement (“</w:t>
      </w:r>
      <w:r>
        <w:rPr>
          <w:rFonts w:ascii="Times New Roman" w:cs="Times New Roman" w:eastAsia="Times New Roman" w:hAnsi="Times New Roman"/>
          <w:sz w:val="18"/>
          <w:szCs w:val="18"/>
          <w:b w:val="1"/>
          <w:bCs w:val="1"/>
          <w:color w:val="auto"/>
        </w:rPr>
        <w:t>EIS</w:t>
      </w:r>
      <w:r>
        <w:rPr>
          <w:rFonts w:ascii="Times New Roman" w:cs="Times New Roman" w:eastAsia="Times New Roman" w:hAnsi="Times New Roman"/>
          <w:sz w:val="18"/>
          <w:szCs w:val="18"/>
          <w:color w:val="auto"/>
        </w:rPr>
        <w:t>”) or fill out the EIR Form according to the following rules:</w:t>
      </w:r>
    </w:p>
    <w:p>
      <w:pPr>
        <w:spacing w:after="0" w:line="298" w:lineRule="exact"/>
        <w:rPr>
          <w:sz w:val="20"/>
          <w:szCs w:val="20"/>
          <w:color w:val="auto"/>
        </w:rPr>
      </w:pPr>
    </w:p>
    <w:p>
      <w:pPr>
        <w:ind w:left="1800" w:right="419" w:hanging="180"/>
        <w:spacing w:after="0" w:line="282"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projects with potentially serious environmental impact, an EIR shall be prepared to provide a comprehensive assessment of their environmental impact;</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projects with potentially mild environmental impact, an EIS shall be prepared to provide an analysis or specialized assessment of their environmental impact;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projects with very small environmental impact, an EIA is not required but an EIR Form shall be completed.</w:t>
      </w:r>
    </w:p>
    <w:p>
      <w:pPr>
        <w:spacing w:after="0" w:line="9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According to </w:t>
      </w:r>
      <w:r>
        <w:rPr>
          <w:rFonts w:ascii="Times New Roman" w:cs="Times New Roman" w:eastAsia="Times New Roman" w:hAnsi="Times New Roman"/>
          <w:sz w:val="18"/>
          <w:szCs w:val="18"/>
          <w:i w:val="1"/>
          <w:iCs w:val="1"/>
          <w:color w:val="auto"/>
        </w:rPr>
        <w:t>the Classified Administration Catalogue of Environmental Impact Assessments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Construction Projects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Classified Administration Catalogue (2018 version)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issued on September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2008, and amended on April 28, 2018, the food and beverage services are classified as to fill in an Environmental Impact Registration Form. When the construction entity fails to fill in the Environmental Impact Registration Form by the law, the environmental protection administrative department at or above the county level shall order it to fill in and impose a fine that is not more than RMB50,000 on it. On November 30, 2020, the Ministry of Ecology and Environment of the PRC promulgated </w:t>
      </w:r>
      <w:r>
        <w:rPr>
          <w:rFonts w:ascii="Times New Roman" w:cs="Times New Roman" w:eastAsia="Times New Roman" w:hAnsi="Times New Roman"/>
          <w:sz w:val="18"/>
          <w:szCs w:val="18"/>
          <w:i w:val="1"/>
          <w:iCs w:val="1"/>
          <w:color w:val="auto"/>
        </w:rPr>
        <w:t>the Classified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Administration Catalogue of Environmental Impact Assessments for Construction Projects (2021 version)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Classified Administration Catalogue (2021 version)</w:t>
      </w:r>
      <w:r>
        <w:rPr>
          <w:rFonts w:ascii="Times New Roman" w:cs="Times New Roman" w:eastAsia="Times New Roman" w:hAnsi="Times New Roman"/>
          <w:sz w:val="18"/>
          <w:szCs w:val="18"/>
          <w:color w:val="auto"/>
        </w:rPr>
        <w:t xml:space="preserve">”), which became effective on January 1, 2021, and repealed </w:t>
      </w:r>
      <w:r>
        <w:rPr>
          <w:rFonts w:ascii="Times New Roman" w:cs="Times New Roman" w:eastAsia="Times New Roman" w:hAnsi="Times New Roman"/>
          <w:sz w:val="18"/>
          <w:szCs w:val="18"/>
          <w:i w:val="1"/>
          <w:iCs w:val="1"/>
          <w:color w:val="auto"/>
        </w:rPr>
        <w:t>the Classified Administration Catalogue (2018 version).</w:t>
      </w:r>
      <w:r>
        <w:rPr>
          <w:rFonts w:ascii="Times New Roman" w:cs="Times New Roman" w:eastAsia="Times New Roman" w:hAnsi="Times New Roman"/>
          <w:sz w:val="18"/>
          <w:szCs w:val="18"/>
          <w:color w:val="auto"/>
        </w:rPr>
        <w:t xml:space="preserve"> According to </w:t>
      </w:r>
      <w:r>
        <w:rPr>
          <w:rFonts w:ascii="Times New Roman" w:cs="Times New Roman" w:eastAsia="Times New Roman" w:hAnsi="Times New Roman"/>
          <w:sz w:val="18"/>
          <w:szCs w:val="18"/>
          <w:i w:val="1"/>
          <w:iCs w:val="1"/>
          <w:color w:val="auto"/>
        </w:rPr>
        <w:t>the Classified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Administration Catalogue (2021 version)</w:t>
      </w:r>
      <w:r>
        <w:rPr>
          <w:rFonts w:ascii="Times New Roman" w:cs="Times New Roman" w:eastAsia="Times New Roman" w:hAnsi="Times New Roman"/>
          <w:sz w:val="18"/>
          <w:szCs w:val="18"/>
          <w:color w:val="auto"/>
        </w:rPr>
        <w:t>, the food and beverage services are not included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of environmental impact assessment of construction projects.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FIRE PREVENTION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Fire Protection Design Procedure</w:t>
      </w:r>
    </w:p>
    <w:p>
      <w:pPr>
        <w:spacing w:after="0" w:line="158" w:lineRule="exact"/>
        <w:rPr>
          <w:sz w:val="20"/>
          <w:szCs w:val="20"/>
          <w:color w:val="auto"/>
        </w:rPr>
      </w:pPr>
    </w:p>
    <w:p>
      <w:pPr>
        <w:jc w:val="both"/>
        <w:ind w:left="1260" w:right="419" w:firstLine="360"/>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The Fire Prevention Law of the People’s Republic of China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Fire Prevention Law</w:t>
      </w:r>
      <w:r>
        <w:rPr>
          <w:rFonts w:ascii="Times New Roman" w:cs="Times New Roman" w:eastAsia="Times New Roman" w:hAnsi="Times New Roman"/>
          <w:sz w:val="18"/>
          <w:szCs w:val="18"/>
          <w:color w:val="auto"/>
        </w:rPr>
        <w:t>”) was adopted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April 29, 1998, and amended on October 28, 2008, April 23, 2019, and April 29, 2021. According to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Fire Prevention Law </w:t>
      </w:r>
      <w:r>
        <w:rPr>
          <w:rFonts w:ascii="Times New Roman" w:cs="Times New Roman" w:eastAsia="Times New Roman" w:hAnsi="Times New Roman"/>
          <w:sz w:val="18"/>
          <w:szCs w:val="18"/>
          <w:color w:val="auto"/>
        </w:rPr>
        <w:t>and other relevant laws and regulations of the PRC, the Emergency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2" w:lineRule="auto"/>
        <w:rPr>
          <w:sz w:val="20"/>
          <w:szCs w:val="20"/>
          <w:color w:val="auto"/>
        </w:rPr>
      </w:pPr>
      <w:r>
        <w:rPr>
          <w:rFonts w:ascii="Times New Roman" w:cs="Times New Roman" w:eastAsia="Times New Roman" w:hAnsi="Times New Roman"/>
          <w:sz w:val="18"/>
          <w:szCs w:val="18"/>
          <w:color w:val="auto"/>
        </w:rPr>
        <w:t xml:space="preserve">of the State Council and local governments at or above the county level shall monitor and administer the fire prevention affairs, and the fire prevention and rescue departments of such governments are responsible for implementation. </w:t>
      </w:r>
      <w:r>
        <w:rPr>
          <w:rFonts w:ascii="Times New Roman" w:cs="Times New Roman" w:eastAsia="Times New Roman" w:hAnsi="Times New Roman"/>
          <w:sz w:val="18"/>
          <w:szCs w:val="18"/>
          <w:i w:val="1"/>
          <w:iCs w:val="1"/>
          <w:color w:val="auto"/>
        </w:rPr>
        <w:t>The Fire Prevention Law</w:t>
      </w:r>
      <w:r>
        <w:rPr>
          <w:rFonts w:ascii="Times New Roman" w:cs="Times New Roman" w:eastAsia="Times New Roman" w:hAnsi="Times New Roman"/>
          <w:sz w:val="18"/>
          <w:szCs w:val="18"/>
          <w:color w:val="auto"/>
        </w:rPr>
        <w:t xml:space="preserve"> provides that the fire prevention design or construction of a construction project must conform to the national fire prevention technical standards. According to </w:t>
      </w:r>
      <w:r>
        <w:rPr>
          <w:rFonts w:ascii="Times New Roman" w:cs="Times New Roman" w:eastAsia="Times New Roman" w:hAnsi="Times New Roman"/>
          <w:sz w:val="18"/>
          <w:szCs w:val="18"/>
          <w:i w:val="1"/>
          <w:iCs w:val="1"/>
          <w:color w:val="auto"/>
        </w:rPr>
        <w:t xml:space="preserve">Provisions on the Supervision and Administration of Fire Protection of Construction Projects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Fire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Protection Supervision Provisions</w:t>
      </w:r>
      <w:r>
        <w:rPr>
          <w:rFonts w:ascii="Times New Roman" w:cs="Times New Roman" w:eastAsia="Times New Roman" w:hAnsi="Times New Roman"/>
          <w:sz w:val="18"/>
          <w:szCs w:val="18"/>
          <w:color w:val="auto"/>
        </w:rPr>
        <w:t>”), issued on April 30, 2009, and amended on July 17, 2012,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restaurants, teahouses or coffee shops with more than 500 square meters and with entertainment functions, the construction entity shall apply for fire prevention design approval. For other restaurants, teahouses, or coffee shops, the construction entity shall, within seven days after obtaining the construction permission of the project, submit the fire prevention design filing. </w:t>
      </w:r>
      <w:r>
        <w:rPr>
          <w:rFonts w:ascii="Times New Roman" w:cs="Times New Roman" w:eastAsia="Times New Roman" w:hAnsi="Times New Roman"/>
          <w:sz w:val="18"/>
          <w:szCs w:val="18"/>
          <w:i w:val="1"/>
          <w:iCs w:val="1"/>
          <w:color w:val="auto"/>
        </w:rPr>
        <w:t>The Fire Protection Supervision Provisions</w:t>
      </w:r>
      <w:r>
        <w:rPr>
          <w:rFonts w:ascii="Times New Roman" w:cs="Times New Roman" w:eastAsia="Times New Roman" w:hAnsi="Times New Roman"/>
          <w:sz w:val="18"/>
          <w:szCs w:val="18"/>
          <w:color w:val="auto"/>
        </w:rPr>
        <w:t xml:space="preserve"> was repealed on June 1, 2020. After </w:t>
      </w:r>
      <w:r>
        <w:rPr>
          <w:rFonts w:ascii="Times New Roman" w:cs="Times New Roman" w:eastAsia="Times New Roman" w:hAnsi="Times New Roman"/>
          <w:sz w:val="18"/>
          <w:szCs w:val="18"/>
          <w:i w:val="1"/>
          <w:iCs w:val="1"/>
          <w:color w:val="auto"/>
        </w:rPr>
        <w:t>the Fire Prevention Law</w:t>
      </w:r>
      <w:r>
        <w:rPr>
          <w:rFonts w:ascii="Times New Roman" w:cs="Times New Roman" w:eastAsia="Times New Roman" w:hAnsi="Times New Roman"/>
          <w:sz w:val="18"/>
          <w:szCs w:val="18"/>
          <w:color w:val="auto"/>
        </w:rPr>
        <w:t xml:space="preserve"> was amended on April 23, 2019, the relevant housing and urban-rural development authority replaced fire prevention and rescue departments to monitor and administer the fire prevention design procedure. According to </w:t>
      </w:r>
      <w:r>
        <w:rPr>
          <w:rFonts w:ascii="Times New Roman" w:cs="Times New Roman" w:eastAsia="Times New Roman" w:hAnsi="Times New Roman"/>
          <w:sz w:val="18"/>
          <w:szCs w:val="18"/>
          <w:i w:val="1"/>
          <w:iCs w:val="1"/>
          <w:color w:val="auto"/>
        </w:rPr>
        <w:t>the Administration of Fire Protection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Design Review and Acceptance of Construction Projects </w:t>
      </w:r>
      <w:r>
        <w:rPr>
          <w:rFonts w:ascii="Times New Roman" w:cs="Times New Roman" w:eastAsia="Times New Roman" w:hAnsi="Times New Roman"/>
          <w:sz w:val="18"/>
          <w:szCs w:val="18"/>
          <w:color w:val="auto"/>
        </w:rPr>
        <w:t>promulgated by the Ministry of Housing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Urban-Rural Development and became effective on June 1, 2020, amended on August 21, 2023, for the restaurants, teahouses or coffee shops with more than 500 square meters and with entertainment functions, the construction entity shall apply for fire prevention design approval. For other restaurants, teahouses, or coffee shops, when the construction entity applies for construction permission or approval of commencement report, it shall provide the fire prevention design blueprints and technical documents to meet the requirement of the construction and such construction project shall be subject to the filing and random inspection system.</w:t>
      </w: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Required As-built Acceptance Check on Fire Prevention and Fire Safety Filing</w:t>
      </w:r>
    </w:p>
    <w:p>
      <w:pPr>
        <w:spacing w:after="0" w:line="160"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i w:val="1"/>
          <w:iCs w:val="1"/>
          <w:color w:val="auto"/>
        </w:rPr>
        <w:t>the Fire Prevention Law</w:t>
      </w:r>
      <w:r>
        <w:rPr>
          <w:rFonts w:ascii="Times New Roman" w:cs="Times New Roman" w:eastAsia="Times New Roman" w:hAnsi="Times New Roman"/>
          <w:sz w:val="18"/>
          <w:szCs w:val="18"/>
          <w:color w:val="auto"/>
        </w:rPr>
        <w:t xml:space="preserve">, upon the completion of a construction project to which the fire prevention design has been applied, such project must pass the required as-built acceptance check on fire prevention by, or file with, relevant housing and urban-rural development authority. For the restaurants, teahouses, or coffee shops with more than 500 square meters and with entertainment functions, the construction entity or entity using such venue shall, prior to use and operation of any business thereof, apply for the required as-built acceptance check on fire prevention with relevant fire prevention and rescue department of the local governments at or above the county level where the venue is located. For other restaurants, teahouses, or coffee shops, the construction entity or entity using such venue shall submit the fire safety filing. After </w:t>
      </w:r>
      <w:r>
        <w:rPr>
          <w:rFonts w:ascii="Times New Roman" w:cs="Times New Roman" w:eastAsia="Times New Roman" w:hAnsi="Times New Roman"/>
          <w:sz w:val="18"/>
          <w:szCs w:val="18"/>
          <w:i w:val="1"/>
          <w:iCs w:val="1"/>
          <w:color w:val="auto"/>
        </w:rPr>
        <w:t>the Fire Prevention Law</w:t>
      </w:r>
      <w:r>
        <w:rPr>
          <w:rFonts w:ascii="Times New Roman" w:cs="Times New Roman" w:eastAsia="Times New Roman" w:hAnsi="Times New Roman"/>
          <w:sz w:val="18"/>
          <w:szCs w:val="18"/>
          <w:color w:val="auto"/>
        </w:rPr>
        <w:t xml:space="preserve"> was amended on April 23, 2019, the relevant housing and urban-rural development authority replaced fire prevention and rescue departments to monitor and administer the required as-built acceptance check on fire prevention and fire safety filing. According to the regulations of the Ministry of Public Security, for a construction project whose investment is less than RMB300,000 or whose construction area is less than 300 square meters, the required as-built acceptance check on fire prevention or fire safety filing is not required. Pursuant to </w:t>
      </w:r>
      <w:r>
        <w:rPr>
          <w:rFonts w:ascii="Times New Roman" w:cs="Times New Roman" w:eastAsia="Times New Roman" w:hAnsi="Times New Roman"/>
          <w:sz w:val="18"/>
          <w:szCs w:val="18"/>
          <w:i w:val="1"/>
          <w:iCs w:val="1"/>
          <w:color w:val="auto"/>
        </w:rPr>
        <w:t>the Fire Prevention Law</w:t>
      </w:r>
      <w:r>
        <w:rPr>
          <w:rFonts w:ascii="Times New Roman" w:cs="Times New Roman" w:eastAsia="Times New Roman" w:hAnsi="Times New Roman"/>
          <w:sz w:val="18"/>
          <w:szCs w:val="18"/>
          <w:color w:val="auto"/>
        </w:rPr>
        <w:t>, the construction project that fails to complete the required as-built acceptance check on fire prevention shall be ordered by the relevant government authorities to close down and shall be fined not less than RMB30,000 but not more than RMB300,000. The construction project that fails to complete fire safety filing shall be ordered to rectify and be subject to a fine of up to RMB5,000. Even if the construction project has completed the fire safety filing, it may be randomly inspected by the relevant government authorities and if it fails to pass random inspection by the relevant government authorities after the fire safety filing, the construction entity shall close down the construction project, and if rectification is not made, it will be ordered by the relevant government authorities to close down or cease the business operations and be fined not less than RMB30,000 but not more than RMB300,000.</w:t>
      </w: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Fire Safety Inspection</w:t>
      </w:r>
    </w:p>
    <w:p>
      <w:pPr>
        <w:spacing w:after="0" w:line="16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i w:val="1"/>
          <w:iCs w:val="1"/>
          <w:color w:val="auto"/>
        </w:rPr>
        <w:t>the Fire Prevention Law</w:t>
      </w:r>
      <w:r>
        <w:rPr>
          <w:rFonts w:ascii="Times New Roman" w:cs="Times New Roman" w:eastAsia="Times New Roman" w:hAnsi="Times New Roman"/>
          <w:sz w:val="18"/>
          <w:szCs w:val="18"/>
          <w:color w:val="auto"/>
        </w:rPr>
        <w:t>, the employer or the entity occupying the facility shall apply to the fire prevention and rescue department of the local people’s government at or above the county level for a fire safety inspection before a public gathering place is put into use or opened for business. Any constructions illegally put into use, or public gathering place operated without passing the fire safety inspection or without meeting the fire safety requirements, shall be ordered to discontinue the construction, use, production, or operation and be fined not less than RMB30,000 but not more than RMB300,000.</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FOREIGN INVESTMENT</w:t>
      </w:r>
    </w:p>
    <w:p>
      <w:pPr>
        <w:spacing w:after="0" w:line="16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 establishment, operation, and management of companies in China are governed by </w:t>
      </w:r>
      <w:r>
        <w:rPr>
          <w:rFonts w:ascii="Times New Roman" w:cs="Times New Roman" w:eastAsia="Times New Roman" w:hAnsi="Times New Roman"/>
          <w:sz w:val="18"/>
          <w:szCs w:val="18"/>
          <w:i w:val="1"/>
          <w:iCs w:val="1"/>
          <w:color w:val="auto"/>
        </w:rPr>
        <w:t>the PRC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Law</w:t>
      </w:r>
      <w:r>
        <w:rPr>
          <w:rFonts w:ascii="Times New Roman" w:cs="Times New Roman" w:eastAsia="Times New Roman" w:hAnsi="Times New Roman"/>
          <w:sz w:val="18"/>
          <w:szCs w:val="18"/>
          <w:color w:val="auto"/>
        </w:rPr>
        <w:t>, as newly amended on December 29, 2023. According to</w:t>
      </w:r>
      <w:r>
        <w:rPr>
          <w:rFonts w:ascii="Times New Roman" w:cs="Times New Roman" w:eastAsia="Times New Roman" w:hAnsi="Times New Roman"/>
          <w:sz w:val="18"/>
          <w:szCs w:val="18"/>
          <w:i w:val="1"/>
          <w:iCs w:val="1"/>
          <w:color w:val="auto"/>
        </w:rPr>
        <w:t xml:space="preserve"> the PRC Company Law</w:t>
      </w:r>
      <w:r>
        <w:rPr>
          <w:rFonts w:ascii="Times New Roman" w:cs="Times New Roman" w:eastAsia="Times New Roman" w:hAnsi="Times New Roman"/>
          <w:sz w:val="18"/>
          <w:szCs w:val="18"/>
          <w:color w:val="auto"/>
        </w:rPr>
        <w:t>,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established in the PRC are either limited liability companies or joint stock limited liability companies.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PRC Company Law </w:t>
      </w:r>
      <w:r>
        <w:rPr>
          <w:rFonts w:ascii="Times New Roman" w:cs="Times New Roman" w:eastAsia="Times New Roman" w:hAnsi="Times New Roman"/>
          <w:sz w:val="18"/>
          <w:szCs w:val="18"/>
          <w:color w:val="auto"/>
        </w:rPr>
        <w:t>applies to both PRC domestic companies and foreign investment companies.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i w:val="1"/>
          <w:iCs w:val="1"/>
          <w:color w:val="auto"/>
        </w:rPr>
        <w:t>the Provisional Administrative Measures on Establishment and Modifications (Filing) for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 Enterprises </w:t>
      </w:r>
      <w:r>
        <w:rPr>
          <w:rFonts w:ascii="Times New Roman" w:cs="Times New Roman" w:eastAsia="Times New Roman" w:hAnsi="Times New Roman"/>
          <w:sz w:val="18"/>
          <w:szCs w:val="18"/>
          <w:color w:val="auto"/>
        </w:rPr>
        <w:t>promulgated by MOFCOM on October 8, 2016, amended on July 30, 2017, and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29, 2018, foreign investment enterprises who are not subject to the required approval under the special entry management measures, shall file with relevant commerce authorities for its establishment and</w:t>
      </w:r>
    </w:p>
    <w:p>
      <w:pPr>
        <w:spacing w:after="0" w:line="4"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 xml:space="preserve">changes. On December 30, 2019, MOFCOM and SAMR promulgated </w:t>
      </w:r>
      <w:r>
        <w:rPr>
          <w:rFonts w:ascii="Times New Roman" w:cs="Times New Roman" w:eastAsia="Times New Roman" w:hAnsi="Times New Roman"/>
          <w:sz w:val="18"/>
          <w:szCs w:val="18"/>
          <w:i w:val="1"/>
          <w:iCs w:val="1"/>
          <w:color w:val="auto"/>
        </w:rPr>
        <w:t>the Measures for the Reporting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Information</w:t>
      </w:r>
      <w:r>
        <w:rPr>
          <w:rFonts w:ascii="Times New Roman" w:cs="Times New Roman" w:eastAsia="Times New Roman" w:hAnsi="Times New Roman"/>
          <w:sz w:val="18"/>
          <w:szCs w:val="18"/>
          <w:color w:val="auto"/>
        </w:rPr>
        <w:t>, which became effective on January 1, 2020, repealing</w:t>
      </w:r>
      <w:r>
        <w:rPr>
          <w:rFonts w:ascii="Times New Roman" w:cs="Times New Roman" w:eastAsia="Times New Roman" w:hAnsi="Times New Roman"/>
          <w:sz w:val="18"/>
          <w:szCs w:val="18"/>
          <w:i w:val="1"/>
          <w:iCs w:val="1"/>
          <w:color w:val="auto"/>
        </w:rPr>
        <w:t xml:space="preserve"> the Provisional Administrative Measures on Establishment and Modifications (Filing) for Foreign Investment Enterprises</w:t>
      </w:r>
      <w:r>
        <w:rPr>
          <w:rFonts w:ascii="Times New Roman" w:cs="Times New Roman" w:eastAsia="Times New Roman" w:hAnsi="Times New Roman"/>
          <w:sz w:val="18"/>
          <w:szCs w:val="18"/>
          <w:color w:val="auto"/>
        </w:rPr>
        <w:t>.</w:t>
      </w: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 xml:space="preserve">When foreign investors make investments directly or indirectly within China, foreign investors or foreign-funded enterprises shall report investment information to commerce departments. In September 2024, MOFCOM and NDRC jointly issued </w:t>
      </w:r>
      <w:r>
        <w:rPr>
          <w:rFonts w:ascii="Times New Roman" w:cs="Times New Roman" w:eastAsia="Times New Roman" w:hAnsi="Times New Roman"/>
          <w:sz w:val="18"/>
          <w:szCs w:val="18"/>
          <w:i w:val="1"/>
          <w:iCs w:val="1"/>
          <w:color w:val="auto"/>
        </w:rPr>
        <w:t>the Special Administrative Measures (Negative List) for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 Access (2024 version)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Negative List (2024)</w:t>
      </w:r>
      <w:r>
        <w:rPr>
          <w:rFonts w:ascii="Times New Roman" w:cs="Times New Roman" w:eastAsia="Times New Roman" w:hAnsi="Times New Roman"/>
          <w:sz w:val="18"/>
          <w:szCs w:val="18"/>
          <w:color w:val="auto"/>
        </w:rPr>
        <w:t>”), which became effective on November 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customer food and beverage services were not included in </w:t>
      </w:r>
      <w:r>
        <w:rPr>
          <w:rFonts w:ascii="Times New Roman" w:cs="Times New Roman" w:eastAsia="Times New Roman" w:hAnsi="Times New Roman"/>
          <w:sz w:val="18"/>
          <w:szCs w:val="18"/>
          <w:i w:val="1"/>
          <w:iCs w:val="1"/>
          <w:color w:val="auto"/>
        </w:rPr>
        <w:t>the Negative List (2024)</w:t>
      </w:r>
      <w:r>
        <w:rPr>
          <w:rFonts w:ascii="Times New Roman" w:cs="Times New Roman" w:eastAsia="Times New Roman" w:hAnsi="Times New Roman"/>
          <w:sz w:val="18"/>
          <w:szCs w:val="18"/>
          <w:color w:val="auto"/>
        </w:rPr>
        <w:t xml:space="preserve">. Fields that were not included in </w:t>
      </w:r>
      <w:r>
        <w:rPr>
          <w:rFonts w:ascii="Times New Roman" w:cs="Times New Roman" w:eastAsia="Times New Roman" w:hAnsi="Times New Roman"/>
          <w:sz w:val="18"/>
          <w:szCs w:val="18"/>
          <w:i w:val="1"/>
          <w:iCs w:val="1"/>
          <w:color w:val="auto"/>
        </w:rPr>
        <w:t>the Negative List (2024)</w:t>
      </w:r>
      <w:r>
        <w:rPr>
          <w:rFonts w:ascii="Times New Roman" w:cs="Times New Roman" w:eastAsia="Times New Roman" w:hAnsi="Times New Roman"/>
          <w:sz w:val="18"/>
          <w:szCs w:val="18"/>
          <w:color w:val="auto"/>
        </w:rPr>
        <w:t xml:space="preserve"> shall be regulated according to the principle of equal treatment of domestic and foreign investments.</w:t>
      </w:r>
    </w:p>
    <w:p>
      <w:pPr>
        <w:spacing w:after="0" w:line="324" w:lineRule="exact"/>
        <w:rPr>
          <w:sz w:val="20"/>
          <w:szCs w:val="20"/>
          <w:color w:val="auto"/>
        </w:rPr>
      </w:pPr>
    </w:p>
    <w:p>
      <w:pPr>
        <w:jc w:val="both"/>
        <w:ind w:left="1260" w:right="419" w:firstLine="360"/>
        <w:spacing w:after="0" w:line="248" w:lineRule="auto"/>
        <w:rPr>
          <w:sz w:val="20"/>
          <w:szCs w:val="20"/>
          <w:color w:val="auto"/>
        </w:rPr>
      </w:pPr>
      <w:r>
        <w:rPr>
          <w:rFonts w:ascii="Times New Roman" w:cs="Times New Roman" w:eastAsia="Times New Roman" w:hAnsi="Times New Roman"/>
          <w:sz w:val="18"/>
          <w:szCs w:val="18"/>
          <w:color w:val="auto"/>
        </w:rPr>
        <w:t>On March 15, 2019, the National People’s Congress of the PRC (“</w:t>
      </w:r>
      <w:r>
        <w:rPr>
          <w:rFonts w:ascii="Times New Roman" w:cs="Times New Roman" w:eastAsia="Times New Roman" w:hAnsi="Times New Roman"/>
          <w:sz w:val="18"/>
          <w:szCs w:val="18"/>
          <w:b w:val="1"/>
          <w:bCs w:val="1"/>
          <w:color w:val="auto"/>
        </w:rPr>
        <w:t>NPC</w:t>
      </w:r>
      <w:r>
        <w:rPr>
          <w:rFonts w:ascii="Times New Roman" w:cs="Times New Roman" w:eastAsia="Times New Roman" w:hAnsi="Times New Roman"/>
          <w:sz w:val="18"/>
          <w:szCs w:val="18"/>
          <w:color w:val="auto"/>
        </w:rPr>
        <w:t xml:space="preserve">”) promulgated </w:t>
      </w:r>
      <w:r>
        <w:rPr>
          <w:rFonts w:ascii="Times New Roman" w:cs="Times New Roman" w:eastAsia="Times New Roman" w:hAnsi="Times New Roman"/>
          <w:sz w:val="18"/>
          <w:szCs w:val="18"/>
          <w:i w:val="1"/>
          <w:iCs w:val="1"/>
          <w:color w:val="auto"/>
        </w:rPr>
        <w:t>the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 Law of the People’s Republic of China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Foreign Investment Law</w:t>
      </w:r>
      <w:r>
        <w:rPr>
          <w:rFonts w:ascii="Times New Roman" w:cs="Times New Roman" w:eastAsia="Times New Roman" w:hAnsi="Times New Roman"/>
          <w:sz w:val="18"/>
          <w:szCs w:val="18"/>
          <w:color w:val="auto"/>
        </w:rPr>
        <w:t>”), which became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January 1, 2020, by replacing </w:t>
      </w:r>
      <w:r>
        <w:rPr>
          <w:rFonts w:ascii="Times New Roman" w:cs="Times New Roman" w:eastAsia="Times New Roman" w:hAnsi="Times New Roman"/>
          <w:sz w:val="18"/>
          <w:szCs w:val="18"/>
          <w:i w:val="1"/>
          <w:iCs w:val="1"/>
          <w:color w:val="auto"/>
        </w:rPr>
        <w:t>the Sino-Foreign Equity Joint Venture Enterprise Law of the People’s</w:t>
      </w:r>
    </w:p>
    <w:p>
      <w:pPr>
        <w:spacing w:after="0" w:line="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i w:val="1"/>
          <w:iCs w:val="1"/>
          <w:color w:val="auto"/>
        </w:rPr>
        <w:t>Republic of China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Sino-Foreign Cooperative Joint Venture Enterprise Law of the People’s Republic of China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the Wholly Foreign-owned Enterprise Law of the People’s Republic of China </w:t>
      </w:r>
      <w:r>
        <w:rPr>
          <w:rFonts w:ascii="Times New Roman" w:cs="Times New Roman" w:eastAsia="Times New Roman" w:hAnsi="Times New Roman"/>
          <w:sz w:val="18"/>
          <w:szCs w:val="18"/>
          <w:color w:val="auto"/>
        </w:rPr>
        <w:t>, and became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legal foundation for foreign investment in the PRC. </w:t>
      </w:r>
      <w:r>
        <w:rPr>
          <w:rFonts w:ascii="Times New Roman" w:cs="Times New Roman" w:eastAsia="Times New Roman" w:hAnsi="Times New Roman"/>
          <w:sz w:val="18"/>
          <w:szCs w:val="18"/>
          <w:i w:val="1"/>
          <w:iCs w:val="1"/>
          <w:color w:val="auto"/>
        </w:rPr>
        <w:t>The Foreign Investment Law</w:t>
      </w:r>
      <w:r>
        <w:rPr>
          <w:rFonts w:ascii="Times New Roman" w:cs="Times New Roman" w:eastAsia="Times New Roman" w:hAnsi="Times New Roman"/>
          <w:sz w:val="18"/>
          <w:szCs w:val="18"/>
          <w:color w:val="auto"/>
        </w:rPr>
        <w:t xml:space="preserve"> implements the</w:t>
      </w:r>
    </w:p>
    <w:p>
      <w:pPr>
        <w:jc w:val="both"/>
        <w:ind w:left="1260" w:right="419"/>
        <w:spacing w:after="0"/>
        <w:rPr>
          <w:sz w:val="20"/>
          <w:szCs w:val="20"/>
          <w:color w:val="auto"/>
        </w:rPr>
      </w:pPr>
      <w:r>
        <w:rPr>
          <w:rFonts w:ascii="Times New Roman" w:cs="Times New Roman" w:eastAsia="Times New Roman" w:hAnsi="Times New Roman"/>
          <w:sz w:val="18"/>
          <w:szCs w:val="18"/>
          <w:color w:val="auto"/>
        </w:rPr>
        <w:t xml:space="preserve">administrative system of pre-entry national treatment and the negative list of foreign investments. Pursuant to </w:t>
      </w:r>
      <w:r>
        <w:rPr>
          <w:rFonts w:ascii="Times New Roman" w:cs="Times New Roman" w:eastAsia="Times New Roman" w:hAnsi="Times New Roman"/>
          <w:sz w:val="18"/>
          <w:szCs w:val="18"/>
          <w:i w:val="1"/>
          <w:iCs w:val="1"/>
          <w:color w:val="auto"/>
        </w:rPr>
        <w:t>the Foreign Investment Law</w:t>
      </w:r>
      <w:r>
        <w:rPr>
          <w:rFonts w:ascii="Times New Roman" w:cs="Times New Roman" w:eastAsia="Times New Roman" w:hAnsi="Times New Roman"/>
          <w:sz w:val="18"/>
          <w:szCs w:val="18"/>
          <w:color w:val="auto"/>
        </w:rPr>
        <w:t>, national treatment shall be applied to foreign investments that are not mentioned in the negative list promulgated by the State Council.</w:t>
      </w:r>
    </w:p>
    <w:p>
      <w:pPr>
        <w:spacing w:after="0" w:line="115"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On December 26, 2019, the State Council promulgated </w:t>
      </w:r>
      <w:r>
        <w:rPr>
          <w:rFonts w:ascii="Times New Roman" w:cs="Times New Roman" w:eastAsia="Times New Roman" w:hAnsi="Times New Roman"/>
          <w:sz w:val="18"/>
          <w:szCs w:val="18"/>
          <w:i w:val="1"/>
          <w:iCs w:val="1"/>
          <w:color w:val="auto"/>
        </w:rPr>
        <w:t>the Implementation Regulations of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 Law of the People’s Republic of China</w:t>
      </w:r>
      <w:r>
        <w:rPr>
          <w:rFonts w:ascii="Times New Roman" w:cs="Times New Roman" w:eastAsia="Times New Roman" w:hAnsi="Times New Roman"/>
          <w:sz w:val="18"/>
          <w:szCs w:val="18"/>
          <w:color w:val="auto"/>
        </w:rPr>
        <w:t>, which became effective on January 1, 2020.</w:t>
      </w:r>
      <w:r>
        <w:rPr>
          <w:rFonts w:ascii="Times New Roman" w:cs="Times New Roman" w:eastAsia="Times New Roman" w:hAnsi="Times New Roman"/>
          <w:sz w:val="18"/>
          <w:szCs w:val="18"/>
          <w:i w:val="1"/>
          <w:iCs w:val="1"/>
          <w:color w:val="auto"/>
        </w:rPr>
        <w:t xml:space="preserve"> The Implementation Regulations of Foreign Investment Law </w:t>
      </w:r>
      <w:r>
        <w:rPr>
          <w:rFonts w:ascii="Times New Roman" w:cs="Times New Roman" w:eastAsia="Times New Roman" w:hAnsi="Times New Roman"/>
          <w:sz w:val="18"/>
          <w:szCs w:val="18"/>
          <w:color w:val="auto"/>
        </w:rPr>
        <w:t>provide specific operation rules for the principles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investment protection, investment promotion, and investment management in </w:t>
      </w:r>
      <w:r>
        <w:rPr>
          <w:rFonts w:ascii="Times New Roman" w:cs="Times New Roman" w:eastAsia="Times New Roman" w:hAnsi="Times New Roman"/>
          <w:sz w:val="18"/>
          <w:szCs w:val="18"/>
          <w:i w:val="1"/>
          <w:iCs w:val="1"/>
          <w:color w:val="auto"/>
        </w:rPr>
        <w:t>the Foreign Investment Law</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Our equity ownership in our PRC subsidiary, Beijing Chagee Catering Management Co., Ltd., is subject to </w:t>
      </w:r>
      <w:r>
        <w:rPr>
          <w:rFonts w:ascii="Times New Roman" w:cs="Times New Roman" w:eastAsia="Times New Roman" w:hAnsi="Times New Roman"/>
          <w:sz w:val="18"/>
          <w:szCs w:val="18"/>
          <w:i w:val="1"/>
          <w:iCs w:val="1"/>
          <w:color w:val="auto"/>
        </w:rPr>
        <w:t>the Foreign Investment Law</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i w:val="1"/>
          <w:iCs w:val="1"/>
          <w:color w:val="auto"/>
        </w:rPr>
        <w:t>the Administrative Provisions for Foreign-funded Telecommunications Enterprises</w:t>
      </w:r>
      <w:r>
        <w:rPr>
          <w:rFonts w:ascii="Times New Roman" w:cs="Times New Roman" w:eastAsia="Times New Roman" w:hAnsi="Times New Roman"/>
          <w:sz w:val="18"/>
          <w:szCs w:val="18"/>
          <w:color w:val="auto"/>
        </w:rPr>
        <w:t>, which was amended by the State Council on March 29, 2022 and became effective on May 1, 2022, the ultimate equity limit for foreign investment in the value-added telecommunications enterprises (excluding e-commerce business, domestic multi-party communication business, storage and forwarding business, or call center business) is 50%.</w:t>
      </w:r>
    </w:p>
    <w:p>
      <w:pPr>
        <w:spacing w:after="0" w:line="3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CYBER SECURITY, DATA AND PERSONAL INFORMATION PROTECTION</w:t>
      </w:r>
    </w:p>
    <w:p>
      <w:pPr>
        <w:spacing w:after="0" w:line="146" w:lineRule="exact"/>
        <w:rPr>
          <w:sz w:val="20"/>
          <w:szCs w:val="20"/>
          <w:color w:val="auto"/>
        </w:rPr>
      </w:pPr>
    </w:p>
    <w:p>
      <w:pPr>
        <w:jc w:val="both"/>
        <w:ind w:left="1260" w:right="4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PRC Cyber Security Law, the PRC Data Security Law, and the PRC Personal Information Protection Law </w:t>
      </w:r>
      <w:r>
        <w:rPr>
          <w:rFonts w:ascii="Times New Roman" w:cs="Times New Roman" w:eastAsia="Times New Roman" w:hAnsi="Times New Roman"/>
          <w:sz w:val="18"/>
          <w:szCs w:val="18"/>
          <w:b w:val="1"/>
          <w:bCs w:val="1"/>
          <w:i w:val="1"/>
          <w:iCs w:val="1"/>
          <w:color w:val="auto"/>
        </w:rPr>
        <w:t>(“PIPL”)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three fundamental laws in the areas of cyber security, data and personal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protection.</w:t>
      </w:r>
    </w:p>
    <w:p>
      <w:pPr>
        <w:spacing w:after="0" w:line="106"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The PRC Cyber Security Law</w:t>
      </w:r>
      <w:r>
        <w:rPr>
          <w:rFonts w:ascii="Times New Roman" w:cs="Times New Roman" w:eastAsia="Times New Roman" w:hAnsi="Times New Roman"/>
          <w:sz w:val="18"/>
          <w:szCs w:val="18"/>
          <w:color w:val="auto"/>
        </w:rPr>
        <w:t>, which was promulgated on November 7, 2016, and became effective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June 1, 2017, prohibits individuals or entities from obtaining personal information through stealing or other illegal ways, selling or illegally disclosing personal information. </w:t>
      </w:r>
      <w:r>
        <w:rPr>
          <w:rFonts w:ascii="Times New Roman" w:cs="Times New Roman" w:eastAsia="Times New Roman" w:hAnsi="Times New Roman"/>
          <w:sz w:val="18"/>
          <w:szCs w:val="18"/>
          <w:i w:val="1"/>
          <w:iCs w:val="1"/>
          <w:color w:val="auto"/>
        </w:rPr>
        <w:t>The PRC Cyber Security Law</w:t>
      </w:r>
      <w:r>
        <w:rPr>
          <w:rFonts w:ascii="Times New Roman" w:cs="Times New Roman" w:eastAsia="Times New Roman" w:hAnsi="Times New Roman"/>
          <w:sz w:val="18"/>
          <w:szCs w:val="18"/>
          <w:color w:val="auto"/>
        </w:rPr>
        <w:t xml:space="preserve"> requires network operators to adopt technical and organizational measures in accordance with applicable laws, regulations to safeguard the safety and stability of network operations, effectively respond to network security incidents, prevent illegal and criminal activities, and maintain the integrity, confidentiality, and availability of network data. </w:t>
      </w:r>
      <w:r>
        <w:rPr>
          <w:rFonts w:ascii="Times New Roman" w:cs="Times New Roman" w:eastAsia="Times New Roman" w:hAnsi="Times New Roman"/>
          <w:sz w:val="18"/>
          <w:szCs w:val="18"/>
          <w:i w:val="1"/>
          <w:iCs w:val="1"/>
          <w:color w:val="auto"/>
        </w:rPr>
        <w:t>The PRC Data Security Law,</w:t>
      </w:r>
      <w:r>
        <w:rPr>
          <w:rFonts w:ascii="Times New Roman" w:cs="Times New Roman" w:eastAsia="Times New Roman" w:hAnsi="Times New Roman"/>
          <w:sz w:val="18"/>
          <w:szCs w:val="18"/>
          <w:color w:val="auto"/>
        </w:rPr>
        <w:t xml:space="preserve"> which was promulgated on June 10,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became effective on September 1, 2021, further requires a systematic data governance. Specifically, entities carrying out data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 xml:space="preserve">processing activities shall establish a sound data security management system, organize internal data security training, and take corresponding technical and organizational measures to ensure data security. In terms of personal information protection, pursuant to </w:t>
      </w:r>
      <w:r>
        <w:rPr>
          <w:rFonts w:ascii="Times New Roman" w:cs="Times New Roman" w:eastAsia="Times New Roman" w:hAnsi="Times New Roman"/>
          <w:sz w:val="18"/>
          <w:szCs w:val="18"/>
          <w:i w:val="1"/>
          <w:iCs w:val="1"/>
          <w:color w:val="auto"/>
        </w:rPr>
        <w:t>the Civil Code of the People’s Republic of China</w:t>
      </w:r>
      <w:r>
        <w:rPr>
          <w:rFonts w:ascii="Times New Roman" w:cs="Times New Roman" w:eastAsia="Times New Roman" w:hAnsi="Times New Roman"/>
          <w:sz w:val="18"/>
          <w:szCs w:val="18"/>
          <w:color w:val="auto"/>
        </w:rPr>
        <w:t xml:space="preserve">, which was promulgated by NPC on May 28, 2020, and came into effect on January 1, 2021, the personal information of a natural person shall be protected. Any organization or individual shall legally obtain the personal information of others when necessary and ensure the safety of such personal information, and shall not illegally collect, use, process or transmit the personal information of others, or illegally buy or sell, provide or make public the personal information of others. Moreover, </w:t>
      </w:r>
      <w:r>
        <w:rPr>
          <w:rFonts w:ascii="Times New Roman" w:cs="Times New Roman" w:eastAsia="Times New Roman" w:hAnsi="Times New Roman"/>
          <w:sz w:val="18"/>
          <w:szCs w:val="18"/>
          <w:i w:val="1"/>
          <w:iCs w:val="1"/>
          <w:color w:val="auto"/>
        </w:rPr>
        <w:t>the PRC PIPL,</w:t>
      </w:r>
      <w:r>
        <w:rPr>
          <w:rFonts w:ascii="Times New Roman" w:cs="Times New Roman" w:eastAsia="Times New Roman" w:hAnsi="Times New Roman"/>
          <w:sz w:val="18"/>
          <w:szCs w:val="18"/>
          <w:color w:val="auto"/>
        </w:rPr>
        <w:t xml:space="preserve"> which was promulgated on August 20, 2021 and became effective on November 1, 2021, specially provides compliance obligations for personal information handlers. Specifically, </w:t>
      </w:r>
      <w:r>
        <w:rPr>
          <w:rFonts w:ascii="Times New Roman" w:cs="Times New Roman" w:eastAsia="Times New Roman" w:hAnsi="Times New Roman"/>
          <w:sz w:val="18"/>
          <w:szCs w:val="18"/>
          <w:i w:val="1"/>
          <w:iCs w:val="1"/>
          <w:color w:val="auto"/>
        </w:rPr>
        <w:t>The PRC PIPL</w:t>
      </w:r>
      <w:r>
        <w:rPr>
          <w:rFonts w:ascii="Times New Roman" w:cs="Times New Roman" w:eastAsia="Times New Roman" w:hAnsi="Times New Roman"/>
          <w:sz w:val="18"/>
          <w:szCs w:val="18"/>
          <w:color w:val="auto"/>
        </w:rPr>
        <w:t xml:space="preserve"> specifies principles of personal information processing activities, and requires personal information handlers to process personal information under legal basis. Furthermore, it also entitles individuals with information rights, such as the right to know, to consult, to copy, to delete personal information, etc. In this regard, personal information handlers shall promptly respond to the aforesaid right claims. Similar to the </w:t>
      </w:r>
      <w:r>
        <w:rPr>
          <w:rFonts w:ascii="Times New Roman" w:cs="Times New Roman" w:eastAsia="Times New Roman" w:hAnsi="Times New Roman"/>
          <w:sz w:val="18"/>
          <w:szCs w:val="18"/>
          <w:i w:val="1"/>
          <w:iCs w:val="1"/>
          <w:color w:val="auto"/>
        </w:rPr>
        <w:t>PRC Data Security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PRC PIPL </w:t>
      </w:r>
      <w:r>
        <w:rPr>
          <w:rFonts w:ascii="Times New Roman" w:cs="Times New Roman" w:eastAsia="Times New Roman" w:hAnsi="Times New Roman"/>
          <w:sz w:val="18"/>
          <w:szCs w:val="18"/>
          <w:color w:val="auto"/>
        </w:rPr>
        <w:t>also requires personal information handlers to take appropriate technical and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measures, and conduct personal information protection impact assessment under provided circumstances.</w:t>
      </w:r>
    </w:p>
    <w:p>
      <w:pPr>
        <w:spacing w:after="0" w:line="331"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Any violation of the provisions and requirements under </w:t>
      </w:r>
      <w:r>
        <w:rPr>
          <w:rFonts w:ascii="Times New Roman" w:cs="Times New Roman" w:eastAsia="Times New Roman" w:hAnsi="Times New Roman"/>
          <w:sz w:val="18"/>
          <w:szCs w:val="18"/>
          <w:i w:val="1"/>
          <w:iCs w:val="1"/>
          <w:color w:val="auto"/>
        </w:rPr>
        <w:t>the PRC Cyber Security Law, the PRC 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Security Law and the PRC PIPL </w:t>
      </w:r>
      <w:r>
        <w:rPr>
          <w:rFonts w:ascii="Times New Roman" w:cs="Times New Roman" w:eastAsia="Times New Roman" w:hAnsi="Times New Roman"/>
          <w:sz w:val="18"/>
          <w:szCs w:val="18"/>
          <w:color w:val="auto"/>
        </w:rPr>
        <w:t>may lead to consequences of warnings, fines, confiscation of illegal gains,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revocation of licenses, cancellation of filings, close-down of websites or applications, or even criminal liabilities. As for criminal liabilities, pursuant to </w:t>
      </w:r>
      <w:r>
        <w:rPr>
          <w:rFonts w:ascii="Times New Roman" w:cs="Times New Roman" w:eastAsia="Times New Roman" w:hAnsi="Times New Roman"/>
          <w:sz w:val="18"/>
          <w:szCs w:val="18"/>
          <w:i w:val="1"/>
          <w:iCs w:val="1"/>
          <w:color w:val="auto"/>
        </w:rPr>
        <w:t>the PRC Criminal Law</w:t>
      </w:r>
      <w:r>
        <w:rPr>
          <w:rFonts w:ascii="Times New Roman" w:cs="Times New Roman" w:eastAsia="Times New Roman" w:hAnsi="Times New Roman"/>
          <w:sz w:val="18"/>
          <w:szCs w:val="18"/>
          <w:color w:val="auto"/>
        </w:rPr>
        <w:t>, as last amended in December 2023, any individual or entity that (i) sells or discloses any citizen’s personal information to others in a way violating the applicable law, or (ii) steals or illegally obtains any citizen’s personal information in a severe</w:t>
      </w:r>
    </w:p>
    <w:p>
      <w:pPr>
        <w:spacing w:after="0" w:line="5"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 xml:space="preserve">situation, shall be subject to criminal penalty. In addition, </w:t>
      </w:r>
      <w:r>
        <w:rPr>
          <w:rFonts w:ascii="Times New Roman" w:cs="Times New Roman" w:eastAsia="Times New Roman" w:hAnsi="Times New Roman"/>
          <w:sz w:val="18"/>
          <w:szCs w:val="18"/>
          <w:i w:val="1"/>
          <w:iCs w:val="1"/>
          <w:color w:val="auto"/>
        </w:rPr>
        <w:t>the Interpretations of the Supreme People’s Court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the Supreme People’s Procuratorate of the PRC on Several Issues Concerning the Application of Law in Handling Criminal Cases of Infringing Citizen’s Personal Information</w:t>
      </w:r>
      <w:r>
        <w:rPr>
          <w:rFonts w:ascii="Times New Roman" w:cs="Times New Roman" w:eastAsia="Times New Roman" w:hAnsi="Times New Roman"/>
          <w:sz w:val="18"/>
          <w:szCs w:val="18"/>
          <w:color w:val="auto"/>
        </w:rPr>
        <w:t>, which was promulgated in</w:t>
      </w: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May 2017 and became effective in June 2017, clarifies certain standards for the conviction and sentencing of the criminals in relation to personal information infringement.</w:t>
      </w:r>
    </w:p>
    <w:p>
      <w:pPr>
        <w:spacing w:after="0" w:line="113"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 September 30, 2024, the State Council released the Regulations on MNDS, which has come into force on January 1, 2025. The Regulations on MNDS is not only the first at the administrative regulation level specifically for network data security, but it also serves as a comprehensive implementing regulation for the compliance requirements set out by the Cybersecurity Law, Data Security Law, and Personal Information Protection Law. The Regulations on MNDS introduces several key obligations, including requiring network data handlers to specify the purpose and method of personal information processing, as well as the types of personal information involved, before any personal information is handled. It also establishes broader contractual requirements for data sharing between data handlers.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FOREIGN EXCHANGE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Regulation on Foreign Currency Exchange</w:t>
      </w:r>
    </w:p>
    <w:p>
      <w:pPr>
        <w:spacing w:after="0" w:line="146"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i w:val="1"/>
          <w:iCs w:val="1"/>
          <w:color w:val="auto"/>
        </w:rPr>
        <w:t>the Foreign Exchange Administration Regulations of the People’s Republic of China</w:t>
      </w:r>
      <w:r>
        <w:rPr>
          <w:rFonts w:ascii="Times New Roman" w:cs="Times New Roman" w:eastAsia="Times New Roman" w:hAnsi="Times New Roman"/>
          <w:sz w:val="18"/>
          <w:szCs w:val="18"/>
          <w:color w:val="auto"/>
        </w:rPr>
        <w:t>, as amended on August 5, 2008, Chinese Yuan (also named “</w:t>
      </w:r>
      <w:r>
        <w:rPr>
          <w:rFonts w:ascii="Times New Roman" w:cs="Times New Roman" w:eastAsia="Times New Roman" w:hAnsi="Times New Roman"/>
          <w:sz w:val="18"/>
          <w:szCs w:val="18"/>
          <w:b w:val="1"/>
          <w:bCs w:val="1"/>
          <w:color w:val="auto"/>
        </w:rPr>
        <w:t>Renminbi</w:t>
      </w:r>
      <w:r>
        <w:rPr>
          <w:rFonts w:ascii="Times New Roman" w:cs="Times New Roman" w:eastAsia="Times New Roman" w:hAnsi="Times New Roman"/>
          <w:sz w:val="18"/>
          <w:szCs w:val="18"/>
          <w:color w:val="auto"/>
        </w:rPr>
        <w:t>”) is freely convertible for current account items, including the distribution of dividends, interest payments, trade, and service-related foreign exchange transactions, but not for capital account items, including direct investments, loans, repatriation of investments and investments in securities outside of China, unless prior approval is obtained from SAFE, and prior registration with SAFE is made.</w:t>
      </w:r>
    </w:p>
    <w:p>
      <w:pPr>
        <w:spacing w:after="0" w:line="115"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 xml:space="preserve">SAFE issued </w:t>
      </w:r>
      <w:r>
        <w:rPr>
          <w:rFonts w:ascii="Times New Roman" w:cs="Times New Roman" w:eastAsia="Times New Roman" w:hAnsi="Times New Roman"/>
          <w:sz w:val="18"/>
          <w:szCs w:val="18"/>
          <w:i w:val="1"/>
          <w:iCs w:val="1"/>
          <w:color w:val="auto"/>
        </w:rPr>
        <w:t>the Circular on Reforming of the Management Method of the Settlement of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Currency Capital of Foreign-Invested Enterprises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SAFE Circular 19</w:t>
      </w:r>
      <w:r>
        <w:rPr>
          <w:rFonts w:ascii="Times New Roman" w:cs="Times New Roman" w:eastAsia="Times New Roman" w:hAnsi="Times New Roman"/>
          <w:sz w:val="18"/>
          <w:szCs w:val="18"/>
          <w:color w:val="auto"/>
        </w:rPr>
        <w:t>”), on March 30, 2015, and it</w:t>
      </w: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 xml:space="preserve">became effective on June 1, 2015, which was partially repealed on December 30, 2019, and latest amended on March 23, 2023. </w:t>
      </w:r>
      <w:r>
        <w:rPr>
          <w:rFonts w:ascii="Times New Roman" w:cs="Times New Roman" w:eastAsia="Times New Roman" w:hAnsi="Times New Roman"/>
          <w:sz w:val="18"/>
          <w:szCs w:val="18"/>
          <w:i w:val="1"/>
          <w:iCs w:val="1"/>
          <w:color w:val="auto"/>
        </w:rPr>
        <w:t>The SAFE Circular 19</w:t>
      </w:r>
      <w:r>
        <w:rPr>
          <w:rFonts w:ascii="Times New Roman" w:cs="Times New Roman" w:eastAsia="Times New Roman" w:hAnsi="Times New Roman"/>
          <w:sz w:val="18"/>
          <w:szCs w:val="18"/>
          <w:color w:val="auto"/>
        </w:rPr>
        <w:t xml:space="preserve"> expands a pilot reform of the administration of the settlement of the foreign exchange capitals of foreign-invested enterprises nationwide. In June 2016, SAFE further</w:t>
      </w:r>
    </w:p>
    <w:p>
      <w:pPr>
        <w:spacing w:after="0" w:line="1"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 xml:space="preserve">promulgated </w:t>
      </w:r>
      <w:r>
        <w:rPr>
          <w:rFonts w:ascii="Times New Roman" w:cs="Times New Roman" w:eastAsia="Times New Roman" w:hAnsi="Times New Roman"/>
          <w:sz w:val="18"/>
          <w:szCs w:val="18"/>
          <w:i w:val="1"/>
          <w:iCs w:val="1"/>
          <w:color w:val="auto"/>
        </w:rPr>
        <w:t>the Notice of the State Administration of Foreign Exchange on Reforming and Standardizing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Foreign Exchange Settlement Management Policy of Capital Account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SAFE Circular 16</w:t>
      </w:r>
      <w:r>
        <w:rPr>
          <w:rFonts w:ascii="Times New Roman" w:cs="Times New Roman" w:eastAsia="Times New Roman" w:hAnsi="Times New Roman"/>
          <w:sz w:val="18"/>
          <w:szCs w:val="18"/>
          <w:color w:val="auto"/>
        </w:rPr>
        <w:t>”), which,</w:t>
      </w:r>
    </w:p>
    <w:p>
      <w:pPr>
        <w:spacing w:after="0" w:line="1"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color w:val="auto"/>
        </w:rPr>
        <w:t xml:space="preserve">among other things, amends certain provisions of </w:t>
      </w:r>
      <w:r>
        <w:rPr>
          <w:rFonts w:ascii="Times New Roman" w:cs="Times New Roman" w:eastAsia="Times New Roman" w:hAnsi="Times New Roman"/>
          <w:sz w:val="18"/>
          <w:szCs w:val="18"/>
          <w:i w:val="1"/>
          <w:iCs w:val="1"/>
          <w:color w:val="auto"/>
        </w:rPr>
        <w:t>SAFE Circular 19</w:t>
      </w:r>
      <w:r>
        <w:rPr>
          <w:rFonts w:ascii="Times New Roman" w:cs="Times New Roman" w:eastAsia="Times New Roman" w:hAnsi="Times New Roman"/>
          <w:sz w:val="18"/>
          <w:szCs w:val="18"/>
          <w:color w:val="auto"/>
        </w:rPr>
        <w:t xml:space="preserve">, and latest amended on December 4, 2023. Pursuant to </w:t>
      </w:r>
      <w:r>
        <w:rPr>
          <w:rFonts w:ascii="Times New Roman" w:cs="Times New Roman" w:eastAsia="Times New Roman" w:hAnsi="Times New Roman"/>
          <w:sz w:val="18"/>
          <w:szCs w:val="18"/>
          <w:i w:val="1"/>
          <w:iCs w:val="1"/>
          <w:color w:val="auto"/>
        </w:rPr>
        <w:t>SAFE Circular 19</w:t>
      </w:r>
      <w:r>
        <w:rPr>
          <w:rFonts w:ascii="Times New Roman" w:cs="Times New Roman" w:eastAsia="Times New Roman" w:hAnsi="Times New Roman"/>
          <w:sz w:val="18"/>
          <w:szCs w:val="18"/>
          <w:color w:val="auto"/>
        </w:rPr>
        <w:t xml:space="preserve"> and</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i w:val="1"/>
          <w:iCs w:val="1"/>
          <w:color w:val="auto"/>
        </w:rPr>
        <w:t>SAFE Circular 16</w:t>
      </w:r>
      <w:r>
        <w:rPr>
          <w:rFonts w:ascii="Times New Roman" w:cs="Times New Roman" w:eastAsia="Times New Roman" w:hAnsi="Times New Roman"/>
          <w:sz w:val="18"/>
          <w:szCs w:val="18"/>
          <w:color w:val="auto"/>
        </w:rPr>
        <w:t>, the flow and use of Chinese Yuan capital converted from a foreign currency-denominated registered capital of a foreign-invested company are regulated such that Chinese Yuan capital may not be used for business beyond its business scope or to provide loans to persons other than affiliates unless otherwise permitted under its business scope.</w:t>
      </w:r>
    </w:p>
    <w:p>
      <w:pPr>
        <w:spacing w:after="0" w:line="114"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Since 2012, SAFE has promulgated several circulars to substantially amend and simplify the current foreign exchange procedures. Pursuant to these circulars, the opening of foreign exchange accounts with various special purposes, the reinvestment of Chinese Yuan proceeds by foreign investors in the PRC, and the remittance of profits and dividends in foreign currency and foreign investment to its foreign shareholders are no longer subject to the approval or verification of SAFE. In addition, domestic companies are allowed to provide cross-border loans not only to their offshore subsidiaries but also to their offshore parent companies and affiliates. SAFE also promulgated </w:t>
      </w:r>
      <w:r>
        <w:rPr>
          <w:rFonts w:ascii="Times New Roman" w:cs="Times New Roman" w:eastAsia="Times New Roman" w:hAnsi="Times New Roman"/>
          <w:sz w:val="18"/>
          <w:szCs w:val="18"/>
          <w:i w:val="1"/>
          <w:iCs w:val="1"/>
          <w:color w:val="auto"/>
        </w:rPr>
        <w:t>the Circular on Printing and Distributing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Provisions on Foreign Exchange Administration over Domestic Direct Investment by Foreign Investors and the Supporting Documents </w:t>
      </w:r>
      <w:r>
        <w:rPr>
          <w:rFonts w:ascii="Times New Roman" w:cs="Times New Roman" w:eastAsia="Times New Roman" w:hAnsi="Times New Roman"/>
          <w:sz w:val="18"/>
          <w:szCs w:val="18"/>
          <w:color w:val="auto"/>
        </w:rPr>
        <w:t>in May 2013, as amended in October 2018 and December 2019, which specifies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that foreign institutions and individuals involved in direct investment activities within the PRC should register in SAFE or its local branches. Besides, banks shall process its foreign exchange business relating to the direct investment in the PRC based on the registration information provided by SAFE and its branches. In February 2015, SAFE promulgated </w:t>
      </w:r>
      <w:r>
        <w:rPr>
          <w:rFonts w:ascii="Times New Roman" w:cs="Times New Roman" w:eastAsia="Times New Roman" w:hAnsi="Times New Roman"/>
          <w:sz w:val="18"/>
          <w:szCs w:val="18"/>
          <w:i w:val="1"/>
          <w:iCs w:val="1"/>
          <w:color w:val="auto"/>
        </w:rPr>
        <w:t>the Notice on Further Simplifying and Improving the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Exchange Management Policies for Direct Investment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SAFE Circular 13</w:t>
      </w:r>
      <w:r>
        <w:rPr>
          <w:rFonts w:ascii="Times New Roman" w:cs="Times New Roman" w:eastAsia="Times New Roman" w:hAnsi="Times New Roman"/>
          <w:sz w:val="18"/>
          <w:szCs w:val="18"/>
          <w:color w:val="auto"/>
        </w:rPr>
        <w:t>”), which became effective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June 1, 2015 and latest amended on December 30, 2019. SAFE Circular 13 transfer SAFE’s power that enforces the foreign exchange registration related to inbound and outbound direct investments from SAFE’s local branches to banks, thereby further simplifying the foreign exchange registration procedures for inbound and outbound direct investments. On January 26, 2017, SAFE issued </w:t>
      </w:r>
      <w:r>
        <w:rPr>
          <w:rFonts w:ascii="Times New Roman" w:cs="Times New Roman" w:eastAsia="Times New Roman" w:hAnsi="Times New Roman"/>
          <w:sz w:val="18"/>
          <w:szCs w:val="18"/>
          <w:i w:val="1"/>
          <w:iCs w:val="1"/>
          <w:color w:val="auto"/>
        </w:rPr>
        <w:t>the Circular on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Advancing Foreign Exchange Administration Reform to Enhance Authenticity and Compliance Reviews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stipulates several capital control measures with respect to the outbound remittance of profit from domestic entities to offshore entities, including (i) under the principle of the genuine transaction, banks shall examine these entities’ board resolutions regarding the profit distribution, the original version of tax filing records and audited financial statements; and (ii) domestic entities shall use its profit to cover the deficit of previous years under the law before remitting them into foreign entities.</w:t>
      </w:r>
    </w:p>
    <w:p>
      <w:pPr>
        <w:spacing w:after="0" w:line="200" w:lineRule="exact"/>
        <w:rPr>
          <w:sz w:val="20"/>
          <w:szCs w:val="20"/>
          <w:color w:val="auto"/>
        </w:rPr>
      </w:pP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Exchange Registration of Overseas Investment by PRC Residents</w:t>
      </w:r>
    </w:p>
    <w:p>
      <w:pPr>
        <w:spacing w:after="0" w:line="16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In 2014, SAFE issued </w:t>
      </w:r>
      <w:r>
        <w:rPr>
          <w:rFonts w:ascii="Times New Roman" w:cs="Times New Roman" w:eastAsia="Times New Roman" w:hAnsi="Times New Roman"/>
          <w:sz w:val="18"/>
          <w:szCs w:val="18"/>
          <w:i w:val="1"/>
          <w:iCs w:val="1"/>
          <w:color w:val="auto"/>
        </w:rPr>
        <w:t>the SAFE Circular on Relevant Issues Relating to Domestic Resident’s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 and Financing and Roundtrip Investment through Special Purpose Vehicles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SAFE Circular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37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SAFE Circular 37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regulates foreign exchange matters in relation to offshore investments and financing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round-trip investments of residents or entities by special purpose vehicles (“</w:t>
      </w:r>
      <w:r>
        <w:rPr>
          <w:rFonts w:ascii="Times New Roman" w:cs="Times New Roman" w:eastAsia="Times New Roman" w:hAnsi="Times New Roman"/>
          <w:sz w:val="18"/>
          <w:szCs w:val="18"/>
          <w:b w:val="1"/>
          <w:bCs w:val="1"/>
          <w:color w:val="auto"/>
        </w:rPr>
        <w:t>SPV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SAFE Circular 37</w:t>
      </w:r>
      <w:r>
        <w:rPr>
          <w:rFonts w:ascii="Times New Roman" w:cs="Times New Roman" w:eastAsia="Times New Roman" w:hAnsi="Times New Roman"/>
          <w:sz w:val="18"/>
          <w:szCs w:val="18"/>
          <w:color w:val="auto"/>
        </w:rPr>
        <w:t xml:space="preserve"> provides that, before contributing to an SPV, PRC residents or entities are required to complete foreign exchange registration with SAFE or its local branch, and in the event of the change of basic information (including but not limited to the PRC individual shareholder, name, operation term), or the capital increase, decrease, equity transfer or swap, merge, spin-off or other amendments of the material items, the PRC residents or entities shall complete the change of foreign exchange registration formality for offshore investments.</w:t>
      </w:r>
    </w:p>
    <w:p>
      <w:pPr>
        <w:spacing w:after="0" w:line="323"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In 2015, SAFE promulgated </w:t>
      </w:r>
      <w:r>
        <w:rPr>
          <w:rFonts w:ascii="Times New Roman" w:cs="Times New Roman" w:eastAsia="Times New Roman" w:hAnsi="Times New Roman"/>
          <w:sz w:val="18"/>
          <w:szCs w:val="18"/>
          <w:i w:val="1"/>
          <w:iCs w:val="1"/>
          <w:color w:val="auto"/>
        </w:rPr>
        <w:t>the Notice on Further Simplifying and Improving the Administration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Exchange Concerning Direct Investment</w:t>
      </w:r>
      <w:r>
        <w:rPr>
          <w:rFonts w:ascii="Times New Roman" w:cs="Times New Roman" w:eastAsia="Times New Roman" w:hAnsi="Times New Roman"/>
          <w:sz w:val="18"/>
          <w:szCs w:val="18"/>
          <w:color w:val="auto"/>
        </w:rPr>
        <w:t>. Banks will review and carry out foreign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under domestic direct investment and overseas direct investment, and SAFE and its branches shall indirectly supervise banks for foreign exchange registration of direct investment.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RELATING TO DIVIDEND DISTRIBUTIONS</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principal laws, rules, and regulations governing dividend distributions by foreign-invested enterprises in the PRC are </w:t>
      </w:r>
      <w:r>
        <w:rPr>
          <w:rFonts w:ascii="Times New Roman" w:cs="Times New Roman" w:eastAsia="Times New Roman" w:hAnsi="Times New Roman"/>
          <w:sz w:val="18"/>
          <w:szCs w:val="18"/>
          <w:i w:val="1"/>
          <w:iCs w:val="1"/>
          <w:color w:val="auto"/>
        </w:rPr>
        <w:t>the PRC Company Law</w:t>
      </w:r>
      <w:r>
        <w:rPr>
          <w:rFonts w:ascii="Times New Roman" w:cs="Times New Roman" w:eastAsia="Times New Roman" w:hAnsi="Times New Roman"/>
          <w:sz w:val="18"/>
          <w:szCs w:val="18"/>
          <w:color w:val="auto"/>
        </w:rPr>
        <w:t xml:space="preserve">, promulgated in 1993 and the latest amended in 2023, and </w:t>
      </w:r>
      <w:r>
        <w:rPr>
          <w:rFonts w:ascii="Times New Roman" w:cs="Times New Roman" w:eastAsia="Times New Roman" w:hAnsi="Times New Roman"/>
          <w:sz w:val="18"/>
          <w:szCs w:val="18"/>
          <w:i w:val="1"/>
          <w:iCs w:val="1"/>
          <w:color w:val="auto"/>
        </w:rPr>
        <w:t xml:space="preserve">the Foreign Investment Law </w:t>
      </w:r>
      <w:r>
        <w:rPr>
          <w:rFonts w:ascii="Times New Roman" w:cs="Times New Roman" w:eastAsia="Times New Roman" w:hAnsi="Times New Roman"/>
          <w:sz w:val="18"/>
          <w:szCs w:val="18"/>
          <w:color w:val="auto"/>
        </w:rPr>
        <w:t>and its Implementing Regulations. Under these requirements, foreign-invested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enterprises may pay dividends only out of their accumulated profit, if any, as determined in accordance with PRC accounting standards and regulations. A PRC company is required to allocate at least 10% of their respective accumulated after-tax profits each year, if any, to fund certain capital reserve funds until the aggregate amount of these reserve funds has reached 50% of the registered capital of the enterprises. A PRC company is not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permitted to distribute any profits until any losses from prior fiscal years have been offset. Profits retained from prior fiscal years may be distributed together with distributable profits from the current fiscal year.</w:t>
      </w:r>
    </w:p>
    <w:p>
      <w:pPr>
        <w:spacing w:after="0" w:line="8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According to the Foreign Investment Law, foreign investors may freely remit into or out of China, in Renminbi or any other foreign currency, their capital contributions, profits, capital gains, income from asset disposal, intellectual property royalties, lawfully acquired compensation, indemnity or liquidation income and so on within the territory of China.</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RELATING TO STOCK INCENTIVE PLANS</w:t>
      </w:r>
    </w:p>
    <w:p>
      <w:pPr>
        <w:spacing w:after="0" w:line="160"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SAFE promulgated </w:t>
      </w:r>
      <w:r>
        <w:rPr>
          <w:rFonts w:ascii="Times New Roman" w:cs="Times New Roman" w:eastAsia="Times New Roman" w:hAnsi="Times New Roman"/>
          <w:sz w:val="18"/>
          <w:szCs w:val="18"/>
          <w:i w:val="1"/>
          <w:iCs w:val="1"/>
          <w:color w:val="auto"/>
        </w:rPr>
        <w:t>the Circular of the SAFE on Issues concerning the Administration of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Exchange Used for Domestic Individuals’ Participation in Equity Incentive Plans of Companies Listed Overseas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Stock Option Rules</w:t>
      </w:r>
      <w:r>
        <w:rPr>
          <w:rFonts w:ascii="Times New Roman" w:cs="Times New Roman" w:eastAsia="Times New Roman" w:hAnsi="Times New Roman"/>
          <w:sz w:val="18"/>
          <w:szCs w:val="18"/>
          <w:color w:val="auto"/>
        </w:rPr>
        <w:t>”), in February 2012, replacing the previous rules issued by SAFE in</w:t>
      </w:r>
    </w:p>
    <w:p>
      <w:pPr>
        <w:spacing w:after="0" w:line="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 xml:space="preserve">March 2007. Pursuant to </w:t>
      </w:r>
      <w:r>
        <w:rPr>
          <w:rFonts w:ascii="Times New Roman" w:cs="Times New Roman" w:eastAsia="Times New Roman" w:hAnsi="Times New Roman"/>
          <w:sz w:val="18"/>
          <w:szCs w:val="18"/>
          <w:i w:val="1"/>
          <w:iCs w:val="1"/>
          <w:color w:val="auto"/>
        </w:rPr>
        <w:t>Stock Option Rules</w:t>
      </w:r>
      <w:r>
        <w:rPr>
          <w:rFonts w:ascii="Times New Roman" w:cs="Times New Roman" w:eastAsia="Times New Roman" w:hAnsi="Times New Roman"/>
          <w:sz w:val="18"/>
          <w:szCs w:val="18"/>
          <w:color w:val="auto"/>
        </w:rPr>
        <w:t xml:space="preserve"> and other relevant rules and regulations, PRC residents who participate in a stock incentive plan in an overseas listed company are required to register with SAFE or its local branches and complete certain other procedures. PRC residents who participate in a stock incentive plan must retain a qualified PRC agent, which could be a PRC subsidiary of the overseas listed company, or another qualified institution selected by the PRC subsidiary, to conduct the SAFE registration and other procedures with respect to the stock incentive plan on behalf of the participants. In addition, the PRC agent is required to amend the SAFE registration with respect to the stock incentive plan if there is any material change to the stock incentive plan or the PRC agent or any other material changes. The PRC agent must apply to SAFE or its local branches on behalf of the PRC residents who have the right to exercise the employee share options on the annual quota for the payment of foreign currencies. The foreign exchange proceeds received by the PRC residents from the sale of shares granted by the stock incentive plans and dividends distributed by the overseas listed companies must be remitted into the bank accounts in the PRC opened by the PRC agents before being distributed to such PRC residents.</w:t>
      </w:r>
    </w:p>
    <w:p>
      <w:pPr>
        <w:spacing w:after="0" w:line="126"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See “Risk Factors — Risks Relating to Doing Business in China — Any failure to comply with PRC regulations regarding the registration requirements for employee stock incentive plans may subject the PRC plan participants or us to fines and other legal or administrative sanctions.”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RELATING TO M&amp;A RULES AND OVERSEAS LISTINGS</w:t>
      </w:r>
    </w:p>
    <w:p>
      <w:pPr>
        <w:spacing w:after="0" w:line="16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On August 8, 2006, six PRC governmental agencies jointly promulgated </w:t>
      </w:r>
      <w:r>
        <w:rPr>
          <w:rFonts w:ascii="Times New Roman" w:cs="Times New Roman" w:eastAsia="Times New Roman" w:hAnsi="Times New Roman"/>
          <w:sz w:val="18"/>
          <w:szCs w:val="18"/>
          <w:i w:val="1"/>
          <w:iCs w:val="1"/>
          <w:color w:val="auto"/>
        </w:rPr>
        <w:t>the Regulations on Mergers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Acquisitions of Domestic Enterprises by Foreign Investors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M&amp;A Rules</w:t>
      </w:r>
      <w:r>
        <w:rPr>
          <w:rFonts w:ascii="Times New Roman" w:cs="Times New Roman" w:eastAsia="Times New Roman" w:hAnsi="Times New Roman"/>
          <w:sz w:val="18"/>
          <w:szCs w:val="18"/>
          <w:color w:val="auto"/>
        </w:rPr>
        <w:t>”), which became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September 8, 2006, and were amended on June 22, 2009. </w:t>
      </w:r>
      <w:r>
        <w:rPr>
          <w:rFonts w:ascii="Times New Roman" w:cs="Times New Roman" w:eastAsia="Times New Roman" w:hAnsi="Times New Roman"/>
          <w:sz w:val="18"/>
          <w:szCs w:val="18"/>
          <w:i w:val="1"/>
          <w:iCs w:val="1"/>
          <w:color w:val="auto"/>
        </w:rPr>
        <w:t>The M&amp;A Rules</w:t>
      </w:r>
      <w:r>
        <w:rPr>
          <w:rFonts w:ascii="Times New Roman" w:cs="Times New Roman" w:eastAsia="Times New Roman" w:hAnsi="Times New Roman"/>
          <w:sz w:val="18"/>
          <w:szCs w:val="18"/>
          <w:color w:val="auto"/>
        </w:rPr>
        <w:t xml:space="preserve"> require that if an overseas company established or controlled by PRC companies or individuals, or PRC Citizens, intends to acquire equity interests or assets of any other PRC domestic company affiliated with the PRC Citizens, such acquisition must be submitted to MOFCOM for approval. </w:t>
      </w:r>
      <w:r>
        <w:rPr>
          <w:rFonts w:ascii="Times New Roman" w:cs="Times New Roman" w:eastAsia="Times New Roman" w:hAnsi="Times New Roman"/>
          <w:sz w:val="18"/>
          <w:szCs w:val="18"/>
          <w:i w:val="1"/>
          <w:iCs w:val="1"/>
          <w:color w:val="auto"/>
        </w:rPr>
        <w:t>The M&amp;A Rules</w:t>
      </w:r>
      <w:r>
        <w:rPr>
          <w:rFonts w:ascii="Times New Roman" w:cs="Times New Roman" w:eastAsia="Times New Roman" w:hAnsi="Times New Roman"/>
          <w:sz w:val="18"/>
          <w:szCs w:val="18"/>
          <w:color w:val="auto"/>
        </w:rPr>
        <w:t xml:space="preserve"> also require offshore SPV formed to pursue overseas listing of equity interests in PRC companies and controlled directly or indirectly by PRC companies or individuals to obtain the approval of the CSRC, prior to the listing and trading of such SPV’s securities on any stock exchange overseas.</w:t>
      </w:r>
    </w:p>
    <w:p>
      <w:pPr>
        <w:spacing w:after="0" w:line="11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On February 17, 2023, the CSRC promulgated </w:t>
      </w:r>
      <w:r>
        <w:rPr>
          <w:rFonts w:ascii="Times New Roman" w:cs="Times New Roman" w:eastAsia="Times New Roman" w:hAnsi="Times New Roman"/>
          <w:sz w:val="18"/>
          <w:szCs w:val="18"/>
          <w:i w:val="1"/>
          <w:iCs w:val="1"/>
          <w:color w:val="auto"/>
        </w:rPr>
        <w:t>the Trial Administrative Measures of Overseas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Securities Offering and Listing by Domestic Companies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the Trial Administrative Measures</w:t>
      </w:r>
      <w:r>
        <w:rPr>
          <w:rFonts w:ascii="Times New Roman" w:cs="Times New Roman" w:eastAsia="Times New Roman" w:hAnsi="Times New Roman"/>
          <w:sz w:val="18"/>
          <w:szCs w:val="18"/>
          <w:color w:val="auto"/>
        </w:rPr>
        <w:t>”), which came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into effect on March 31, 2023. On the same date, the CSRC circulated </w:t>
      </w:r>
      <w:r>
        <w:rPr>
          <w:rFonts w:ascii="Times New Roman" w:cs="Times New Roman" w:eastAsia="Times New Roman" w:hAnsi="Times New Roman"/>
          <w:sz w:val="18"/>
          <w:szCs w:val="18"/>
          <w:i w:val="1"/>
          <w:iCs w:val="1"/>
          <w:color w:val="auto"/>
        </w:rPr>
        <w:t>the Supporting Guidance Rules No. 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i w:val="1"/>
          <w:iCs w:val="1"/>
          <w:color w:val="auto"/>
        </w:rPr>
        <w:t>No.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Notes on the Trial Administrative Measures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 on Administration Arrangements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Filing of Overseas Listings by Domestic Enterprises and relevant CSRC Answers to Reporter Questions</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collectively, </w:t>
      </w:r>
      <w:r>
        <w:rPr>
          <w:rFonts w:ascii="Times New Roman" w:cs="Times New Roman" w:eastAsia="Times New Roman" w:hAnsi="Times New Roman"/>
          <w:sz w:val="18"/>
          <w:szCs w:val="18"/>
          <w:i w:val="1"/>
          <w:iCs w:val="1"/>
          <w:color w:val="auto"/>
        </w:rPr>
        <w:t>the Guidance Rules and Notice</w:t>
      </w:r>
      <w:r>
        <w:rPr>
          <w:rFonts w:ascii="Times New Roman" w:cs="Times New Roman" w:eastAsia="Times New Roman" w:hAnsi="Times New Roman"/>
          <w:sz w:val="18"/>
          <w:szCs w:val="18"/>
          <w:color w:val="auto"/>
        </w:rPr>
        <w:t xml:space="preserve">, on CSRC’s official website. Under </w:t>
      </w:r>
      <w:r>
        <w:rPr>
          <w:rFonts w:ascii="Times New Roman" w:cs="Times New Roman" w:eastAsia="Times New Roman" w:hAnsi="Times New Roman"/>
          <w:sz w:val="18"/>
          <w:szCs w:val="18"/>
          <w:i w:val="1"/>
          <w:iCs w:val="1"/>
          <w:color w:val="auto"/>
        </w:rPr>
        <w:t>the Trial Administrative</w:t>
      </w:r>
    </w:p>
    <w:p>
      <w:pPr>
        <w:spacing w:after="0" w:line="5"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Measures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the Guidance Rules and Notice</w:t>
      </w:r>
      <w:r>
        <w:rPr>
          <w:rFonts w:ascii="Times New Roman" w:cs="Times New Roman" w:eastAsia="Times New Roman" w:hAnsi="Times New Roman"/>
          <w:sz w:val="18"/>
          <w:szCs w:val="18"/>
          <w:color w:val="auto"/>
        </w:rPr>
        <w:t>, domestic companies conducting overseas securities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listing, either directly or indirectly, shall complete filings with the CSRC pursuant to t</w:t>
      </w:r>
      <w:r>
        <w:rPr>
          <w:rFonts w:ascii="Times New Roman" w:cs="Times New Roman" w:eastAsia="Times New Roman" w:hAnsi="Times New Roman"/>
          <w:sz w:val="18"/>
          <w:szCs w:val="18"/>
          <w:i w:val="1"/>
          <w:iCs w:val="1"/>
          <w:color w:val="auto"/>
        </w:rPr>
        <w:t>he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Administrative Measures</w:t>
      </w:r>
      <w:r>
        <w:rPr>
          <w:rFonts w:ascii="Times New Roman" w:cs="Times New Roman" w:eastAsia="Times New Roman" w:hAnsi="Times New Roman"/>
          <w:sz w:val="18"/>
          <w:szCs w:val="18"/>
          <w:color w:val="auto"/>
        </w:rPr>
        <w:t>’ requirements within three working days following the submission of an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offering or listing application. If a domestic company fails to complete required filing procedures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Starting from March 31, 2023, enterprises that have been listed overseas or satisfy all of the following conditions shall be deemed as “Existing Issuers” and are not required to complete the overseas</w:t>
      </w:r>
    </w:p>
    <w:p>
      <w:pPr>
        <w:sectPr>
          <w:pgSz w:w="11900" w:h="16838" w:orient="portrait"/>
          <w:cols w:equalWidth="0" w:num="1">
            <w:col w:w="9879"/>
          </w:cols>
          <w:pgMar w:left="580" w:top="97" w:right="1440" w:bottom="1440" w:gutter="0" w:footer="0" w:header="0"/>
        </w:sectPr>
      </w:pP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 xml:space="preserve">listing filing immediately, but shall complete filings as required if they conduct refinancing or are involved in other circumstances that require filing with the CSRC: (i) the application for indirect overseas offering or listing shall have been approved by the relevant overseas regulatory authority or stock exchange prior to March 31, 2023, (ii) the enterprise is not required to reapply for the approval of the relevant overseas regulatory authority or stock exchange, and (iii) such overseas securities offering or listing shall be completed before September 30, 2023. Starting from March 31, 2023, domestic companies that have submitted valid applications for overseas offerings and listing but have not obtained approval from relevant overseas regulatory authorities or overseas stock exchanges before March 31, 2023, can reasonably arrange the timing of filing applications and shall complete filings with the CSRC prior to their overseas offering and listings. The content of our </w:t>
      </w:r>
      <w:r>
        <w:rPr>
          <w:rFonts w:ascii="Times New Roman" w:cs="Times New Roman" w:eastAsia="Times New Roman" w:hAnsi="Times New Roman"/>
          <w:sz w:val="18"/>
          <w:szCs w:val="18"/>
          <w:i w:val="1"/>
          <w:iCs w:val="1"/>
          <w:color w:val="auto"/>
        </w:rPr>
        <w:t>Filing Documents</w:t>
      </w:r>
      <w:r>
        <w:rPr>
          <w:rFonts w:ascii="Times New Roman" w:cs="Times New Roman" w:eastAsia="Times New Roman" w:hAnsi="Times New Roman"/>
          <w:sz w:val="18"/>
          <w:szCs w:val="18"/>
          <w:color w:val="auto"/>
        </w:rPr>
        <w:t xml:space="preserve"> needs to be reviewed by the CSRC.</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February 24, 2023, the CSRC, Ministry of Finance of the PRC, National Administration of State</w:t>
      </w:r>
    </w:p>
    <w:p>
      <w:pPr>
        <w:spacing w:after="0" w:line="27"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 xml:space="preserve">Secrets Protection, and National Archives Administration of China jointly issued </w:t>
      </w:r>
      <w:r>
        <w:rPr>
          <w:rFonts w:ascii="Times New Roman" w:cs="Times New Roman" w:eastAsia="Times New Roman" w:hAnsi="Times New Roman"/>
          <w:sz w:val="18"/>
          <w:szCs w:val="18"/>
          <w:i w:val="1"/>
          <w:iCs w:val="1"/>
          <w:color w:val="auto"/>
        </w:rPr>
        <w:t>the Provisions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Strengthening the Confidentiality and Archive Management Work Relating to the Overseas Securities Offering and Listing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Confidentiality Provisions</w:t>
      </w:r>
      <w:r>
        <w:rPr>
          <w:rFonts w:ascii="Times New Roman" w:cs="Times New Roman" w:eastAsia="Times New Roman" w:hAnsi="Times New Roman"/>
          <w:sz w:val="18"/>
          <w:szCs w:val="18"/>
          <w:color w:val="auto"/>
        </w:rPr>
        <w:t>”), which came into effect on March 31, 2023, with</w:t>
      </w:r>
      <w:r>
        <w:rPr>
          <w:rFonts w:ascii="Times New Roman" w:cs="Times New Roman" w:eastAsia="Times New Roman" w:hAnsi="Times New Roman"/>
          <w:sz w:val="18"/>
          <w:szCs w:val="18"/>
          <w:i w:val="1"/>
          <w:iCs w:val="1"/>
          <w:color w:val="auto"/>
        </w:rPr>
        <w:t xml:space="preserve"> the</w:t>
      </w:r>
    </w:p>
    <w:p>
      <w:pPr>
        <w:jc w:val="both"/>
        <w:ind w:left="1260" w:right="419"/>
        <w:spacing w:after="0"/>
        <w:rPr>
          <w:sz w:val="20"/>
          <w:szCs w:val="20"/>
          <w:color w:val="auto"/>
        </w:rPr>
      </w:pPr>
      <w:r>
        <w:rPr>
          <w:rFonts w:ascii="Times New Roman" w:cs="Times New Roman" w:eastAsia="Times New Roman" w:hAnsi="Times New Roman"/>
          <w:sz w:val="18"/>
          <w:szCs w:val="18"/>
          <w:i w:val="1"/>
          <w:iCs w:val="1"/>
          <w:color w:val="auto"/>
        </w:rPr>
        <w:t>Trial Administrative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Confidentiality Provisions </w:t>
      </w:r>
      <w:r>
        <w:rPr>
          <w:rFonts w:ascii="Times New Roman" w:cs="Times New Roman" w:eastAsia="Times New Roman" w:hAnsi="Times New Roman"/>
          <w:sz w:val="18"/>
          <w:szCs w:val="18"/>
          <w:color w:val="auto"/>
        </w:rPr>
        <w:t>require that, among other things, (a)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domestic company that plans to, either directly or through its overseas-listed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and (b) domestic company that plans to, either directly or through its overseas- listed entity, publicly disclose or provide to relevant individuals and entities including securities companies, securities service providers and overseas regulators, any other documents and materials that, if leaked, will be detrimental to national security or the public interest, shall strictly fulfill relevant procedures stipulated by applicable national regulations. On or after March 31, 2023, any failure or perceived failure by the company, or its PRC subsidiary to comply with the above confidentiality and archives administration requirements under </w:t>
      </w:r>
      <w:r>
        <w:rPr>
          <w:rFonts w:ascii="Times New Roman" w:cs="Times New Roman" w:eastAsia="Times New Roman" w:hAnsi="Times New Roman"/>
          <w:sz w:val="18"/>
          <w:szCs w:val="18"/>
          <w:i w:val="1"/>
          <w:iCs w:val="1"/>
          <w:color w:val="auto"/>
        </w:rPr>
        <w:t>the Confidentiality Provisions</w:t>
      </w:r>
      <w:r>
        <w:rPr>
          <w:rFonts w:ascii="Times New Roman" w:cs="Times New Roman" w:eastAsia="Times New Roman" w:hAnsi="Times New Roman"/>
          <w:sz w:val="18"/>
          <w:szCs w:val="18"/>
          <w:color w:val="auto"/>
        </w:rPr>
        <w:t>, and other PRC laws and regulations may result in the relevant entities being held legally liable by competent authorities and referred to the judicial organ to be investigated for criminal liability if suspected of committing a crime.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LABOR</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Labor Law and Labor Contracts</w:t>
      </w:r>
    </w:p>
    <w:p>
      <w:pPr>
        <w:spacing w:after="0" w:line="160"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According to </w:t>
      </w:r>
      <w:r>
        <w:rPr>
          <w:rFonts w:ascii="Times New Roman" w:cs="Times New Roman" w:eastAsia="Times New Roman" w:hAnsi="Times New Roman"/>
          <w:sz w:val="18"/>
          <w:szCs w:val="18"/>
          <w:i w:val="1"/>
          <w:iCs w:val="1"/>
          <w:color w:val="auto"/>
        </w:rPr>
        <w:t>the Labor Law of the People’s Republic of China</w:t>
      </w:r>
      <w:r>
        <w:rPr>
          <w:rFonts w:ascii="Times New Roman" w:cs="Times New Roman" w:eastAsia="Times New Roman" w:hAnsi="Times New Roman"/>
          <w:sz w:val="18"/>
          <w:szCs w:val="18"/>
          <w:color w:val="auto"/>
        </w:rPr>
        <w:t xml:space="preserve"> promulgated on July 5, 1994, and amended on August 27, 2009, and December 29, 2018, enterprises shall establish and improve their system of workplace safety and sanitation, strictly abide by state rules and standards on workplace safety, and conduct employees training on labor safety and sanitation in the PRC. Labor safety and sanitation facilities shall comply with statutory standards. Enterprises and institutions shall provide employees with safe workplace and sanitation conditions that follow relevant laws and regulations of labor protection.</w:t>
      </w:r>
    </w:p>
    <w:p>
      <w:pPr>
        <w:spacing w:after="0" w:line="101"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The Labor Contract Law of the People’s Republic of China </w:t>
      </w:r>
      <w:r>
        <w:rPr>
          <w:rFonts w:ascii="Times New Roman" w:cs="Times New Roman" w:eastAsia="Times New Roman" w:hAnsi="Times New Roman"/>
          <w:sz w:val="18"/>
          <w:szCs w:val="18"/>
          <w:color w:val="auto"/>
        </w:rPr>
        <w:t>promulgated on June 29, 2007,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amended on December 28, 2012, and </w:t>
      </w:r>
      <w:r>
        <w:rPr>
          <w:rFonts w:ascii="Times New Roman" w:cs="Times New Roman" w:eastAsia="Times New Roman" w:hAnsi="Times New Roman"/>
          <w:sz w:val="18"/>
          <w:szCs w:val="18"/>
          <w:i w:val="1"/>
          <w:iCs w:val="1"/>
          <w:color w:val="auto"/>
        </w:rPr>
        <w:t>the Implementation Rules of the Labor Contract Law of the People’s</w:t>
      </w:r>
    </w:p>
    <w:p>
      <w:pPr>
        <w:jc w:val="both"/>
        <w:ind w:left="1260" w:right="41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Republic of China </w:t>
      </w:r>
      <w:r>
        <w:rPr>
          <w:rFonts w:ascii="Times New Roman" w:cs="Times New Roman" w:eastAsia="Times New Roman" w:hAnsi="Times New Roman"/>
          <w:sz w:val="18"/>
          <w:szCs w:val="18"/>
          <w:color w:val="auto"/>
        </w:rPr>
        <w:t>promulgated on September 18, 2008, set out specific provisions in relation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execution, the terms and the termination of a labor contract and the rights and obligations of the employees and employers, respectively. At the time of employment, the employers shall truthfully inform the employees of the scope of work, working conditions, workplace, occupational hazards, work safety, salary, and other matters that the employees request.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Dispatched Workers</w:t>
      </w:r>
    </w:p>
    <w:p>
      <w:pPr>
        <w:spacing w:after="0" w:line="160"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According to </w:t>
      </w:r>
      <w:r>
        <w:rPr>
          <w:rFonts w:ascii="Times New Roman" w:cs="Times New Roman" w:eastAsia="Times New Roman" w:hAnsi="Times New Roman"/>
          <w:sz w:val="18"/>
          <w:szCs w:val="18"/>
          <w:i w:val="1"/>
          <w:iCs w:val="1"/>
          <w:color w:val="auto"/>
        </w:rPr>
        <w:t>the Interim Provisions on Labor Dispatch</w:t>
      </w:r>
      <w:r>
        <w:rPr>
          <w:rFonts w:ascii="Times New Roman" w:cs="Times New Roman" w:eastAsia="Times New Roman" w:hAnsi="Times New Roman"/>
          <w:sz w:val="18"/>
          <w:szCs w:val="18"/>
          <w:color w:val="auto"/>
        </w:rPr>
        <w:t xml:space="preserve"> issued on January 24, 2014, and implemented on March 1, 2014, by the Ministry of Human Resources and Social Security, employers may only use dispatched workers for temporary, ancillary or substitutable positions. The aforementioned temporary positions shall mean positions lasting for no more than six months; ancillary positions shall mean positions in non-major business that serve positions of major business; and substitutable positions shall mean positions that can be substituted by other workers for a certain period during which the workers who originally hold such positions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spacing w:after="0" w:line="267" w:lineRule="auto"/>
        <w:rPr>
          <w:sz w:val="20"/>
          <w:szCs w:val="20"/>
          <w:color w:val="auto"/>
        </w:rPr>
      </w:pPr>
      <w:r>
        <w:rPr>
          <w:rFonts w:ascii="Times New Roman" w:cs="Times New Roman" w:eastAsia="Times New Roman" w:hAnsi="Times New Roman"/>
          <w:sz w:val="18"/>
          <w:szCs w:val="18"/>
          <w:color w:val="auto"/>
        </w:rPr>
        <w:t xml:space="preserve">are unable to work as a result of full-time study, being on leave or other reasons. According to </w:t>
      </w:r>
      <w:r>
        <w:rPr>
          <w:rFonts w:ascii="Times New Roman" w:cs="Times New Roman" w:eastAsia="Times New Roman" w:hAnsi="Times New Roman"/>
          <w:sz w:val="18"/>
          <w:szCs w:val="18"/>
          <w:i w:val="1"/>
          <w:iCs w:val="1"/>
          <w:color w:val="auto"/>
        </w:rPr>
        <w:t>the Interim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Provisions on Labor Dispatch</w:t>
      </w:r>
      <w:r>
        <w:rPr>
          <w:rFonts w:ascii="Times New Roman" w:cs="Times New Roman" w:eastAsia="Times New Roman" w:hAnsi="Times New Roman"/>
          <w:sz w:val="18"/>
          <w:szCs w:val="18"/>
          <w:color w:val="auto"/>
        </w:rPr>
        <w:t>, employers should strictly control the number of dispatched workers,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dispatched workers shall not exceed 10% of the total amount of their employees.</w:t>
      </w:r>
    </w:p>
    <w:p>
      <w:pPr>
        <w:spacing w:after="0" w:line="106"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i w:val="1"/>
          <w:iCs w:val="1"/>
          <w:color w:val="auto"/>
        </w:rPr>
        <w:t>the Interim Provision on Labor Dispatch</w:t>
      </w:r>
      <w:r>
        <w:rPr>
          <w:rFonts w:ascii="Times New Roman" w:cs="Times New Roman" w:eastAsia="Times New Roman" w:hAnsi="Times New Roman"/>
          <w:sz w:val="18"/>
          <w:szCs w:val="18"/>
          <w:color w:val="auto"/>
        </w:rPr>
        <w:t>, t</w:t>
      </w:r>
      <w:r>
        <w:rPr>
          <w:rFonts w:ascii="Times New Roman" w:cs="Times New Roman" w:eastAsia="Times New Roman" w:hAnsi="Times New Roman"/>
          <w:sz w:val="18"/>
          <w:szCs w:val="18"/>
          <w:i w:val="1"/>
          <w:iCs w:val="1"/>
          <w:color w:val="auto"/>
        </w:rPr>
        <w:t>he Labor Contract Law of the People’s Republic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China,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the Implementation Regulations for the Labor Contract</w:t>
      </w:r>
      <w:r>
        <w:rPr>
          <w:rFonts w:ascii="Times New Roman" w:cs="Times New Roman" w:eastAsia="Times New Roman" w:hAnsi="Times New Roman"/>
          <w:sz w:val="18"/>
          <w:szCs w:val="18"/>
          <w:color w:val="auto"/>
        </w:rPr>
        <w:t>, the employers who fail to comply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relevant requirements on labor dispatch shall be ordered by the labor administrative authorities to make rectification within a stipulated period. When rectification is not made within the stipulated period, the employers may be subject to a penalty ranging from RMB5,000 to RMB10,000 per dispatched worker exceeding the 10% threshold.</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Social Insurance and Housing Fund</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Employers in the PRC are required to contribute, for and on behalf of their employees, to a number of social insurance funds, including funds for pension, unemployment insurance, medical insurance, work-related injury insurance, maternity insurance, and housing fund. These payments are made to local administrative authorities and employers who fail to contribute may be fined and be ordered to make up for the outstanding contributions. The various laws and regulations that govern the employers’ obligations to contribute to the social insurance funds include </w:t>
      </w:r>
      <w:r>
        <w:rPr>
          <w:rFonts w:ascii="Times New Roman" w:cs="Times New Roman" w:eastAsia="Times New Roman" w:hAnsi="Times New Roman"/>
          <w:sz w:val="18"/>
          <w:szCs w:val="18"/>
          <w:i w:val="1"/>
          <w:iCs w:val="1"/>
          <w:color w:val="auto"/>
        </w:rPr>
        <w:t>the Social Insurance Law of the People’s Republic of China</w:t>
      </w:r>
      <w:r>
        <w:rPr>
          <w:rFonts w:ascii="Times New Roman" w:cs="Times New Roman" w:eastAsia="Times New Roman" w:hAnsi="Times New Roman"/>
          <w:sz w:val="18"/>
          <w:szCs w:val="18"/>
          <w:color w:val="auto"/>
        </w:rPr>
        <w:t xml:space="preserve">, which was promulgated by the SCNPC on October 28, 2010, and amended on December 29, 2018,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Interim Regulations on the Collection and Payment of Social Insurance Premiums</w:t>
      </w:r>
      <w:r>
        <w:rPr>
          <w:rFonts w:ascii="Times New Roman" w:cs="Times New Roman" w:eastAsia="Times New Roman" w:hAnsi="Times New Roman"/>
          <w:sz w:val="18"/>
          <w:szCs w:val="18"/>
          <w:color w:val="auto"/>
        </w:rPr>
        <w:t>, which was promulgated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the State Council on January 22, 1999, and amended on March 24, 2019, </w:t>
      </w:r>
      <w:r>
        <w:rPr>
          <w:rFonts w:ascii="Times New Roman" w:cs="Times New Roman" w:eastAsia="Times New Roman" w:hAnsi="Times New Roman"/>
          <w:sz w:val="18"/>
          <w:szCs w:val="18"/>
          <w:i w:val="1"/>
          <w:iCs w:val="1"/>
          <w:color w:val="auto"/>
        </w:rPr>
        <w:t>the Regulations on Work-related Injury Insurance</w:t>
      </w:r>
      <w:r>
        <w:rPr>
          <w:rFonts w:ascii="Times New Roman" w:cs="Times New Roman" w:eastAsia="Times New Roman" w:hAnsi="Times New Roman"/>
          <w:sz w:val="18"/>
          <w:szCs w:val="18"/>
          <w:color w:val="auto"/>
        </w:rPr>
        <w:t>, which was promulgated by the State Council on April 27, 2003, and amended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December 20, 2010, and </w:t>
      </w:r>
      <w:r>
        <w:rPr>
          <w:rFonts w:ascii="Times New Roman" w:cs="Times New Roman" w:eastAsia="Times New Roman" w:hAnsi="Times New Roman"/>
          <w:sz w:val="18"/>
          <w:szCs w:val="18"/>
          <w:i w:val="1"/>
          <w:iCs w:val="1"/>
          <w:color w:val="auto"/>
        </w:rPr>
        <w:t>the Regulations on Management of the Housing Fund</w:t>
      </w:r>
      <w:r>
        <w:rPr>
          <w:rFonts w:ascii="Times New Roman" w:cs="Times New Roman" w:eastAsia="Times New Roman" w:hAnsi="Times New Roman"/>
          <w:sz w:val="18"/>
          <w:szCs w:val="18"/>
          <w:color w:val="auto"/>
        </w:rPr>
        <w:t>, which was promulgated and became effective on April 3, 1999, and was amended on March 24, 2002, and on March 24, 2019.</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PROPERTY LEASING</w:t>
      </w:r>
    </w:p>
    <w:p>
      <w:pPr>
        <w:spacing w:after="0" w:line="146"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i w:val="1"/>
          <w:iCs w:val="1"/>
          <w:color w:val="auto"/>
        </w:rPr>
        <w:t>Administrative Measures on the Lease of Commodity Housing</w:t>
      </w:r>
      <w:r>
        <w:rPr>
          <w:rFonts w:ascii="Times New Roman" w:cs="Times New Roman" w:eastAsia="Times New Roman" w:hAnsi="Times New Roman"/>
          <w:sz w:val="18"/>
          <w:szCs w:val="18"/>
          <w:color w:val="auto"/>
        </w:rPr>
        <w:t xml:space="preserve"> issued by the Ministry of Housing and Urban-Rural Development on December 1, 2010, parties to a lease agreement shall complete the lease registration and filing process with the competent construction (real estate) departments of the municipalities directly under the PRC governments of cities and counties where the housing is located within 30 days after the lease agreement is signed. For those who fail to comply with the above regulations, such competent departments may impose a fine ranging from RMB1,000 and RMB10,000 per lease.</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ON INTELLECTUAL PROPERTY RIGHTS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Copyright</w:t>
      </w:r>
    </w:p>
    <w:p>
      <w:pPr>
        <w:spacing w:after="0" w:line="160"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On September 7, 1990, the SCNPC promulgated </w:t>
      </w:r>
      <w:r>
        <w:rPr>
          <w:rFonts w:ascii="Times New Roman" w:cs="Times New Roman" w:eastAsia="Times New Roman" w:hAnsi="Times New Roman"/>
          <w:sz w:val="18"/>
          <w:szCs w:val="18"/>
          <w:i w:val="1"/>
          <w:iCs w:val="1"/>
          <w:color w:val="auto"/>
        </w:rPr>
        <w:t>the PRC Copyright Law</w:t>
      </w:r>
      <w:r>
        <w:rPr>
          <w:rFonts w:ascii="Times New Roman" w:cs="Times New Roman" w:eastAsia="Times New Roman" w:hAnsi="Times New Roman"/>
          <w:sz w:val="18"/>
          <w:szCs w:val="18"/>
          <w:color w:val="auto"/>
        </w:rPr>
        <w:t xml:space="preserve">, which was amended in 2001, 2010 and 2020. </w:t>
      </w:r>
      <w:r>
        <w:rPr>
          <w:rFonts w:ascii="Times New Roman" w:cs="Times New Roman" w:eastAsia="Times New Roman" w:hAnsi="Times New Roman"/>
          <w:sz w:val="18"/>
          <w:szCs w:val="18"/>
          <w:i w:val="1"/>
          <w:iCs w:val="1"/>
          <w:color w:val="auto"/>
        </w:rPr>
        <w:t>The implementing regulations of the PRC Copyright Law</w:t>
      </w:r>
      <w:r>
        <w:rPr>
          <w:rFonts w:ascii="Times New Roman" w:cs="Times New Roman" w:eastAsia="Times New Roman" w:hAnsi="Times New Roman"/>
          <w:sz w:val="18"/>
          <w:szCs w:val="18"/>
          <w:color w:val="auto"/>
        </w:rPr>
        <w:t xml:space="preserve"> was promulgated in 2002 and amended in 2013. </w:t>
      </w:r>
      <w:r>
        <w:rPr>
          <w:rFonts w:ascii="Times New Roman" w:cs="Times New Roman" w:eastAsia="Times New Roman" w:hAnsi="Times New Roman"/>
          <w:sz w:val="18"/>
          <w:szCs w:val="18"/>
          <w:i w:val="1"/>
          <w:iCs w:val="1"/>
          <w:color w:val="auto"/>
        </w:rPr>
        <w:t>The PRC Copyright Law</w:t>
      </w:r>
      <w:r>
        <w:rPr>
          <w:rFonts w:ascii="Times New Roman" w:cs="Times New Roman" w:eastAsia="Times New Roman" w:hAnsi="Times New Roman"/>
          <w:sz w:val="18"/>
          <w:szCs w:val="18"/>
          <w:color w:val="auto"/>
        </w:rPr>
        <w:t xml:space="preserve"> and its implementation regulations are the principal laws and regulations governing copyright related matters. Pursuant to the amended </w:t>
      </w:r>
      <w:r>
        <w:rPr>
          <w:rFonts w:ascii="Times New Roman" w:cs="Times New Roman" w:eastAsia="Times New Roman" w:hAnsi="Times New Roman"/>
          <w:sz w:val="18"/>
          <w:szCs w:val="18"/>
          <w:i w:val="1"/>
          <w:iCs w:val="1"/>
          <w:color w:val="auto"/>
        </w:rPr>
        <w:t>PRC Copyright Law</w:t>
      </w:r>
      <w:r>
        <w:rPr>
          <w:rFonts w:ascii="Times New Roman" w:cs="Times New Roman" w:eastAsia="Times New Roman" w:hAnsi="Times New Roman"/>
          <w:sz w:val="18"/>
          <w:szCs w:val="18"/>
          <w:color w:val="auto"/>
        </w:rPr>
        <w:t>, products disseminated over the internet and software products, among others, are entitled to copyright protection. Registration of copyright is voluntary, and it is administrated by the China Copyright Protection Center.</w:t>
      </w:r>
    </w:p>
    <w:p>
      <w:pPr>
        <w:spacing w:after="0" w:line="59"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State Council and National Copyright Administration (hereinafter referred to as “</w:t>
      </w:r>
      <w:r>
        <w:rPr>
          <w:rFonts w:ascii="Times New Roman" w:cs="Times New Roman" w:eastAsia="Times New Roman" w:hAnsi="Times New Roman"/>
          <w:sz w:val="18"/>
          <w:szCs w:val="18"/>
          <w:b w:val="1"/>
          <w:bCs w:val="1"/>
          <w:color w:val="auto"/>
        </w:rPr>
        <w:t>NCA</w:t>
      </w:r>
      <w:r>
        <w:rPr>
          <w:rFonts w:ascii="Times New Roman" w:cs="Times New Roman" w:eastAsia="Times New Roman" w:hAnsi="Times New Roman"/>
          <w:sz w:val="18"/>
          <w:szCs w:val="18"/>
          <w:color w:val="auto"/>
        </w:rPr>
        <w:t xml:space="preserve">”), have promulgated various rules and regulations relating to the protection of software in China, including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Regulations on Protection of Computer Software </w:t>
      </w:r>
      <w:r>
        <w:rPr>
          <w:rFonts w:ascii="Times New Roman" w:cs="Times New Roman" w:eastAsia="Times New Roman" w:hAnsi="Times New Roman"/>
          <w:sz w:val="18"/>
          <w:szCs w:val="18"/>
          <w:color w:val="auto"/>
        </w:rPr>
        <w:t>which was amended by State Council on January 30,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became effective since March 1, 2013, and </w:t>
      </w:r>
      <w:r>
        <w:rPr>
          <w:rFonts w:ascii="Times New Roman" w:cs="Times New Roman" w:eastAsia="Times New Roman" w:hAnsi="Times New Roman"/>
          <w:sz w:val="18"/>
          <w:szCs w:val="18"/>
          <w:i w:val="1"/>
          <w:iCs w:val="1"/>
          <w:color w:val="auto"/>
        </w:rPr>
        <w:t>the Measures for Registration of Copyright of Computer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Software </w:t>
      </w:r>
      <w:r>
        <w:rPr>
          <w:rFonts w:ascii="Times New Roman" w:cs="Times New Roman" w:eastAsia="Times New Roman" w:hAnsi="Times New Roman"/>
          <w:sz w:val="18"/>
          <w:szCs w:val="18"/>
          <w:color w:val="auto"/>
        </w:rPr>
        <w:t>which was promulgated by NCA on February 20, 2002, and became effective since the same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 to these rules and regulations, software owners, licensees, and transferees may register their rights in software with the NCA or its local branches and obtain software copyright registration certificates. Although such registration is not mandatory under PRC law, software owners, licensees, and transferees are encouraged to complete the registration process and thus the registered software rights may be entitled to better protections.</w:t>
      </w:r>
    </w:p>
    <w:p>
      <w:pPr>
        <w:spacing w:after="0" w:line="200" w:lineRule="exact"/>
        <w:rPr>
          <w:sz w:val="20"/>
          <w:szCs w:val="20"/>
          <w:color w:val="auto"/>
        </w:rPr>
      </w:pPr>
    </w:p>
    <w:p>
      <w:pPr>
        <w:spacing w:after="0" w:line="3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Domain Name</w:t>
      </w:r>
    </w:p>
    <w:p>
      <w:pPr>
        <w:spacing w:after="0" w:line="15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On August 24, 2017, the Ministry of Industry and Information Technology (“</w:t>
      </w:r>
      <w:r>
        <w:rPr>
          <w:rFonts w:ascii="Times New Roman" w:cs="Times New Roman" w:eastAsia="Times New Roman" w:hAnsi="Times New Roman"/>
          <w:sz w:val="18"/>
          <w:szCs w:val="18"/>
          <w:b w:val="1"/>
          <w:bCs w:val="1"/>
          <w:color w:val="auto"/>
        </w:rPr>
        <w:t>MIIT</w:t>
      </w:r>
      <w:r>
        <w:rPr>
          <w:rFonts w:ascii="Times New Roman" w:cs="Times New Roman" w:eastAsia="Times New Roman" w:hAnsi="Times New Roman"/>
          <w:sz w:val="18"/>
          <w:szCs w:val="18"/>
          <w:color w:val="auto"/>
        </w:rPr>
        <w:t xml:space="preserve">”) promulgated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Administrative Measures for Internet Domain Names</w:t>
      </w:r>
      <w:r>
        <w:rPr>
          <w:rFonts w:ascii="Times New Roman" w:cs="Times New Roman" w:eastAsia="Times New Roman" w:hAnsi="Times New Roman"/>
          <w:sz w:val="18"/>
          <w:szCs w:val="18"/>
          <w:color w:val="auto"/>
        </w:rPr>
        <w:t>, repealing</w:t>
      </w:r>
      <w:r>
        <w:rPr>
          <w:rFonts w:ascii="Times New Roman" w:cs="Times New Roman" w:eastAsia="Times New Roman" w:hAnsi="Times New Roman"/>
          <w:sz w:val="18"/>
          <w:szCs w:val="18"/>
          <w:i w:val="1"/>
          <w:iCs w:val="1"/>
          <w:color w:val="auto"/>
        </w:rPr>
        <w:t xml:space="preserve"> the Domain Name Measures </w:t>
      </w:r>
      <w:r>
        <w:rPr>
          <w:rFonts w:ascii="Times New Roman" w:cs="Times New Roman" w:eastAsia="Times New Roman" w:hAnsi="Times New Roman"/>
          <w:sz w:val="18"/>
          <w:szCs w:val="18"/>
          <w:color w:val="auto"/>
        </w:rPr>
        <w:t>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November 1, 2017. The efforts to undertake Internet domain name services as well as the operation, maintenance, supervision, and administration thereof and other relevant activities within the territory of the PRC shall thereafter be made in compliance with </w:t>
      </w:r>
      <w:r>
        <w:rPr>
          <w:rFonts w:ascii="Times New Roman" w:cs="Times New Roman" w:eastAsia="Times New Roman" w:hAnsi="Times New Roman"/>
          <w:sz w:val="18"/>
          <w:szCs w:val="18"/>
          <w:i w:val="1"/>
          <w:iCs w:val="1"/>
          <w:color w:val="auto"/>
        </w:rPr>
        <w:t>the Administrative Measures for Internet Domain Names</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i w:val="1"/>
          <w:iCs w:val="1"/>
          <w:color w:val="auto"/>
        </w:rPr>
        <w:t>the Measures on Country Top-level Domain Name Dispute Resolution</w:t>
      </w:r>
      <w:r>
        <w:rPr>
          <w:rFonts w:ascii="Times New Roman" w:cs="Times New Roman" w:eastAsia="Times New Roman" w:hAnsi="Times New Roman"/>
          <w:sz w:val="18"/>
          <w:szCs w:val="18"/>
          <w:color w:val="auto"/>
        </w:rPr>
        <w:t xml:space="preserve"> promulgated by the China Internet Network Information Center (hereinafter referred to as “</w:t>
      </w:r>
      <w:r>
        <w:rPr>
          <w:rFonts w:ascii="Times New Roman" w:cs="Times New Roman" w:eastAsia="Times New Roman" w:hAnsi="Times New Roman"/>
          <w:sz w:val="18"/>
          <w:szCs w:val="18"/>
          <w:b w:val="1"/>
          <w:bCs w:val="1"/>
          <w:color w:val="auto"/>
        </w:rPr>
        <w:t>CNNIC</w:t>
      </w:r>
      <w:r>
        <w:rPr>
          <w:rFonts w:ascii="Times New Roman" w:cs="Times New Roman" w:eastAsia="Times New Roman" w:hAnsi="Times New Roman"/>
          <w:sz w:val="18"/>
          <w:szCs w:val="18"/>
          <w:color w:val="auto"/>
        </w:rPr>
        <w:t>”), which became effective on June 18, 2019, domain name dispute can be resolved by a domain name dispute resolution institution recognized by the CNNIC.</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Trademark</w:t>
      </w:r>
    </w:p>
    <w:p>
      <w:pPr>
        <w:spacing w:after="0" w:line="160"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i w:val="1"/>
          <w:iCs w:val="1"/>
          <w:color w:val="auto"/>
        </w:rPr>
        <w:t>The PRC Trademark Law</w:t>
      </w:r>
      <w:r>
        <w:rPr>
          <w:rFonts w:ascii="Times New Roman" w:cs="Times New Roman" w:eastAsia="Times New Roman" w:hAnsi="Times New Roman"/>
          <w:sz w:val="18"/>
          <w:szCs w:val="18"/>
          <w:color w:val="auto"/>
        </w:rPr>
        <w:t>, adopted in 1982 and last amended in 2019, with its implementation rules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in 2002 and amended in 2014, protects registered trademarks. The Trademark Office of the State Administration for Industry and Commerce handles trademark registrations and grants a protection term of ten years to registered trademarks. Trademark license agreements must be filed with the Trademark Office for the record.</w:t>
      </w:r>
    </w:p>
    <w:p>
      <w:pPr>
        <w:spacing w:after="0" w:line="3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Patent</w:t>
      </w:r>
    </w:p>
    <w:p>
      <w:pPr>
        <w:spacing w:after="0" w:line="146"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SCNPC adopted </w:t>
      </w:r>
      <w:r>
        <w:rPr>
          <w:rFonts w:ascii="Times New Roman" w:cs="Times New Roman" w:eastAsia="Times New Roman" w:hAnsi="Times New Roman"/>
          <w:sz w:val="18"/>
          <w:szCs w:val="18"/>
          <w:i w:val="1"/>
          <w:iCs w:val="1"/>
          <w:color w:val="auto"/>
        </w:rPr>
        <w:t>the PRC Patent Law</w:t>
      </w:r>
      <w:r>
        <w:rPr>
          <w:rFonts w:ascii="Times New Roman" w:cs="Times New Roman" w:eastAsia="Times New Roman" w:hAnsi="Times New Roman"/>
          <w:sz w:val="18"/>
          <w:szCs w:val="18"/>
          <w:color w:val="auto"/>
        </w:rPr>
        <w:t xml:space="preserve"> in 1984 and amended it in 1992, 2000, 2008 and 2020, respectively. A patentable invention or utility model must meet three conditions, e.g. novelty, inventiveness, and practical applicability. Patents will not be granted for scientific discoveries, rules, and methods for intellectual activities, methods used to diagnose or treat diseases, animal and plant breeds or substances obtained using nuclear transformation. The Patent Office under the State Intellectual Property Office is responsible for receiving, examining, and approving patent applications. A patent is valid for a twenty-year term for an invention, a ten-year term for a utility model, or a fifteen-year term for a design, starting from the application date. Except for certain specific circumstances provided by law, any third-party users must obtain consent or a proper license from the patent owners to use the patent, otherwise, the use of the patent will constitute an infringement of the rights of the patent holder.</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REGULATIONS RELATING TO TAX IN THE PRC</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Enterprise Income Tax</w:t>
      </w:r>
    </w:p>
    <w:p>
      <w:pPr>
        <w:spacing w:after="0" w:line="16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PRC Enterprise Income Tax Law </w:t>
      </w:r>
      <w:r>
        <w:rPr>
          <w:rFonts w:ascii="Times New Roman" w:cs="Times New Roman" w:eastAsia="Times New Roman" w:hAnsi="Times New Roman"/>
          <w:sz w:val="18"/>
          <w:szCs w:val="18"/>
          <w:color w:val="auto"/>
        </w:rPr>
        <w:t>and its implementing rules provide that dividends paid by a PRC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to a nonresident enterprise for income tax are subject to PRC withholding tax at a rate of 10%, subject to reduction by an applicable tax treaty with China. The Enterprise Income Tax Law applies a uniform 25% enterprise income tax rate to both foreign-invested enterprises and domestic companies, except where tax incentives are granted to special industries and projects. Resident enterprises are defined as enterprises that are established in the PRC in accordance with PRC laws, or that are established in accordance with the laws of foreign countries but whose actual administration is conducted in the PRC. Non-resident enterprises refers to enterprises that are established in accordance with the laws of foreign countries and whose actual administration is conducted outside the PRC, with established institutions or premises in the PRC or income generated from inside the PRC.</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Value-Added Tax</w:t>
      </w:r>
    </w:p>
    <w:p>
      <w:pPr>
        <w:spacing w:after="0" w:line="160"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The Notice of the Ministry of Finance and the State Administration of Taxation on Overall Implementation of the Pilot Program of Replacing Business Tax with Value-added Tax</w:t>
      </w:r>
      <w:r>
        <w:rPr>
          <w:rFonts w:ascii="Times New Roman" w:cs="Times New Roman" w:eastAsia="Times New Roman" w:hAnsi="Times New Roman"/>
          <w:sz w:val="18"/>
          <w:szCs w:val="18"/>
          <w:color w:val="auto"/>
        </w:rPr>
        <w:t>,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promulgated by Ministry of Finance and State Administration of Taxation on March 23, 2016, became effective on May 1, 2016, and was last amended on March 20, 2019, provides that the pilot program of replacing business tax with value-added tax shall be implemented nationwide, and all business taxpayers in the construction industry, real estate industry, finance industry, and consumer service industry, etc. shall be included in the scope of the pilot program and pay the value-added tax instead of business tax.</w:t>
      </w:r>
    </w:p>
    <w:p>
      <w:pPr>
        <w:sectPr>
          <w:pgSz w:w="11900" w:h="16838" w:orient="portrait"/>
          <w:cols w:equalWidth="0" w:num="1">
            <w:col w:w="9879"/>
          </w:cols>
          <w:pgMar w:left="580" w:top="97" w:right="1440" w:bottom="1440" w:gutter="0" w:footer="0" w:header="0"/>
        </w:sectPr>
      </w:pP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i w:val="1"/>
          <w:iCs w:val="1"/>
          <w:color w:val="auto"/>
        </w:rPr>
        <w:t>the Decision of the State Council on the Abolition of the Provisional Regulations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People’s Republic of China on Business Tax and Revision of the Provisional Regulations of the People’s Republic of China on Value-added Tax</w:t>
      </w:r>
      <w:r>
        <w:rPr>
          <w:rFonts w:ascii="Times New Roman" w:cs="Times New Roman" w:eastAsia="Times New Roman" w:hAnsi="Times New Roman"/>
          <w:sz w:val="18"/>
          <w:szCs w:val="18"/>
          <w:color w:val="auto"/>
        </w:rPr>
        <w:t>, which was promulgated on November 19, 2017, and became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on the same day, business tax is officially replaced by value-added tax.</w:t>
      </w:r>
    </w:p>
    <w:p>
      <w:pPr>
        <w:spacing w:after="0" w:line="58"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i w:val="1"/>
          <w:iCs w:val="1"/>
          <w:color w:val="auto"/>
        </w:rPr>
        <w:t>the Provisional Regulations on Value-added Tax of the People’s Republic of China</w:t>
      </w:r>
      <w:r>
        <w:rPr>
          <w:rFonts w:ascii="Times New Roman" w:cs="Times New Roman" w:eastAsia="Times New Roman" w:hAnsi="Times New Roman"/>
          <w:sz w:val="18"/>
          <w:szCs w:val="18"/>
          <w:color w:val="auto"/>
        </w:rPr>
        <w:t xml:space="preserve"> promulgated on December 13, 1993, and last amended on November 19, 2017, and its implementation rules, all entities or individuals in the PRC engaged in the sale of goods or processing, repair and assembly services, sales services, intangible assets, real estate and importation of goods in the PRC are required to pay value-added tax. However, the Value-added Tax Law of the People’s Republic of China, adopted by the SCNPC on December 25, 2024, will come into force as of January 1, 2026, repealing simultaneously the Provisional Regulations on Value-added Tax of the People’s Republic of China.</w:t>
      </w:r>
    </w:p>
    <w:p>
      <w:pPr>
        <w:spacing w:after="0" w:line="117"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Pursuant to the Value-added Tax Law of the People’s Republic of China, entities and individuals (including individual businesses) engaged in sale of goods, services, intangible assets and immovables</w:t>
      </w:r>
    </w:p>
    <w:p>
      <w:pPr>
        <w:jc w:val="both"/>
        <w:ind w:left="1260" w:right="419"/>
        <w:spacing w:after="0" w:line="255" w:lineRule="auto"/>
        <w:tabs>
          <w:tab w:leader="none" w:pos="138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hereinafter referred to as the “taxable transactions”) and importation of goods within the territory of the People’s Republic of China (hereinafter referred to as “in China” in short) are VAT payers and shall pay VAT in accordance with this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prospectus.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Position/Title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Junjie Zhang</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 Chief Executive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Dengfeng Yin</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Chief Operating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Mian Lu</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Vice President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Hongfei Huang (Aaron)</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Financial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Wei Jen Hu</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Vice President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Chi Xu</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Vice President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Yong Zhang</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Yifan Li</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Taisu Zhang</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Yi Wang</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15"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Mr. Junjie Zhang </w:t>
      </w:r>
      <w:r>
        <w:rPr>
          <w:rFonts w:ascii="Times New Roman" w:cs="Times New Roman" w:eastAsia="Times New Roman" w:hAnsi="Times New Roman"/>
          <w:sz w:val="18"/>
          <w:szCs w:val="18"/>
          <w:color w:val="auto"/>
        </w:rPr>
        <w:t>founded CHAGEE in June 2017 and has served as our chairman of the board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since our inception. Mr. Zhang has more than 13 years of operational and managerial experience in the food and beverage industry. Mr. Zhang also currently serves as independent non -executive director at Haidilao International Holding Ltd. (HKEx: 6862) since August 2024. Prior to founding CHAGEE, Mr. Zhang worked at Shanghai Muye Robotics Co., Ltd. from July 2015 to March 2017 and last served as the deputy head of cooperation department in charge of Asia Pacific businesses. Previously, Mr. Zhang served as a regional deputy manager and subsequently, a franchise partner of Yunnan David’s Beverage Co., Ltd.</w:t>
      </w:r>
    </w:p>
    <w:p>
      <w:pPr>
        <w:spacing w:after="0" w:line="324"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Mr. Dengfeng Yin </w:t>
      </w:r>
      <w:r>
        <w:rPr>
          <w:rFonts w:ascii="Times New Roman" w:cs="Times New Roman" w:eastAsia="Times New Roman" w:hAnsi="Times New Roman"/>
          <w:sz w:val="18"/>
          <w:szCs w:val="18"/>
          <w:color w:val="auto"/>
        </w:rPr>
        <w:t>joined CHAGEE in March 2019 and started his role as the general manager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in Guangxi. He has served as our director and chief operating officer since October 2020. Prior to joining us, Mr. Yin has served as chairman of the board of directors of multiple companies since 2007, including Changsha Longbang Information Technology Co., Ltd., Guangxi LidouLidou Food Co., Ltd., Denuowei Communication Technology Co., Ltd., and Changsha Danuowei Communication Equipment Sales Co., Ltd. Previously, Mr. Yin served successively as regional manager, director of the office, sales assistant and general manager of a subsidiary of Ningbo Bird Co., Ltd. (SHA: 600130) from July 1999 to June 2007.</w:t>
      </w:r>
    </w:p>
    <w:p>
      <w:pPr>
        <w:spacing w:after="0" w:line="322"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Mr. Mian Lu </w:t>
      </w:r>
      <w:r>
        <w:rPr>
          <w:rFonts w:ascii="Times New Roman" w:cs="Times New Roman" w:eastAsia="Times New Roman" w:hAnsi="Times New Roman"/>
          <w:sz w:val="18"/>
          <w:szCs w:val="18"/>
          <w:color w:val="auto"/>
        </w:rPr>
        <w:t>has served as our director, and vice president overseeing our Southeast Asia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operations, and human resources and administration since July 2021. Prior to joining us, Mr. Lu served as a partner of Tanghu (Beijing) Culture Co., Ltd. from November 2016 to February 2019.</w:t>
      </w:r>
    </w:p>
    <w:p>
      <w:pPr>
        <w:spacing w:after="0" w:line="99"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Mr. Hongfei Huang (Aaron) </w:t>
      </w:r>
      <w:r>
        <w:rPr>
          <w:rFonts w:ascii="Times New Roman" w:cs="Times New Roman" w:eastAsia="Times New Roman" w:hAnsi="Times New Roman"/>
          <w:sz w:val="18"/>
          <w:szCs w:val="18"/>
          <w:color w:val="auto"/>
        </w:rPr>
        <w:t>joined CHAGEE in October 2024 as the chief financial officer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responsible for full scope of financial matters, including strategy, financial planning &amp; reporting, tax, treasury, capital investment, profitability management and corporate governance. Before joining us, Mr. Huang was a veteran in McDonald’s Great China with 28 years’ experience starting as an accountant. Mr. Huang was the chief financial officer responsible for full scope of the McDonald’s Great China’s finance function as well as supply chain, development, in-direct sourcing, legal, compliance and corporate governance. Mr. Huang obtained his bachelor’s degree in accounting from University of Science and Technology Beijing in 1995 and his executive master’s degree from The University of Texas at Arlington. Mr. Huang is a certified managerial accountant in the United State and the United Kingdom.</w:t>
      </w:r>
    </w:p>
    <w:p>
      <w:pPr>
        <w:spacing w:after="0" w:line="120" w:lineRule="exact"/>
        <w:rPr>
          <w:sz w:val="20"/>
          <w:szCs w:val="20"/>
          <w:color w:val="auto"/>
        </w:rPr>
      </w:pPr>
    </w:p>
    <w:p>
      <w:pPr>
        <w:jc w:val="both"/>
        <w:ind w:left="1260" w:right="419" w:firstLine="360"/>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Mr. Wei Jen Hu </w:t>
      </w:r>
      <w:r>
        <w:rPr>
          <w:rFonts w:ascii="Times New Roman" w:cs="Times New Roman" w:eastAsia="Times New Roman" w:hAnsi="Times New Roman"/>
          <w:sz w:val="18"/>
          <w:szCs w:val="18"/>
          <w:color w:val="auto"/>
        </w:rPr>
        <w:t>has served as our vice president of product development since February 2021.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joining us, Mr. Hu worked as product director of Shenzhen Meixi Xican Restaurants Management Co., Ltd from February 2018 to November 2019 and R&amp;D director of Yang Yang Hao Gongcha Group from October 2012 to October 2016. Mr. Hu obtain his bachelor’s degree in English language and literature from Fujen Catholic University in 2001 and his master’s degree in communication from Hawai’i Pacific University in 2007.</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Mr. Chi Xu </w:t>
      </w:r>
      <w:r>
        <w:rPr>
          <w:rFonts w:ascii="Times New Roman" w:cs="Times New Roman" w:eastAsia="Times New Roman" w:hAnsi="Times New Roman"/>
          <w:sz w:val="18"/>
          <w:szCs w:val="18"/>
          <w:color w:val="auto"/>
        </w:rPr>
        <w:t>has served as our vice president of branding and marketing since June 2021. Prior to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Mr. Xu worked as marketing director of Chengdu Jimei Yutai restaurant management Co., Ltd. Mr. Xu obtained his bachelor’s degree in broadcasting from Communication University of China in July 2014.</w:t>
      </w:r>
    </w:p>
    <w:p>
      <w:pPr>
        <w:spacing w:after="0" w:line="99"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Mr. Yong Zhang </w:t>
      </w:r>
      <w:r>
        <w:rPr>
          <w:rFonts w:ascii="Times New Roman" w:cs="Times New Roman" w:eastAsia="Times New Roman" w:hAnsi="Times New Roman"/>
          <w:sz w:val="18"/>
          <w:szCs w:val="18"/>
          <w:color w:val="auto"/>
        </w:rPr>
        <w:t>has served as our director since April 2025. Mr. Zhang is one of the founders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Haidilao group and has over 30 years of experience in restaurant management business. Mr. Zhang has held various positions within Haidilao group since its establishment. More recently, he has served as the chairman of the board of Haidilao International Holding Ltd. (HKEx: 6862) since January 2018 and as its chief executive officer from January 2018 to March 2022. Mr. Zhang completed the master of business administration program and completed the finance master of business administration program hosted by Cheung Kong Graduate School of Business in October 2011 and August 2012, respectively.</w:t>
      </w:r>
    </w:p>
    <w:p>
      <w:pPr>
        <w:spacing w:after="0" w:line="114"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Mr. Yifan Li </w:t>
      </w:r>
      <w:r>
        <w:rPr>
          <w:rFonts w:ascii="Times New Roman" w:cs="Times New Roman" w:eastAsia="Times New Roman" w:hAnsi="Times New Roman"/>
          <w:sz w:val="18"/>
          <w:szCs w:val="18"/>
          <w:color w:val="auto"/>
        </w:rPr>
        <w:t>has served as our independent director since April 2025. Mr. Li was the chief finance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advisor of Human Horizons Holdings Co. Ltd., a premium luxury electric vehicle manufacturer until December 2023, after servicing as chief financial officer since April 2021. Prior to that, he had served as a board director and a vice president of Geely Holding Group Co., Ltd., an automotive manufacturing company, since October 2014. From May 2014 to September 2014, he was vice president and international chief financial officer of Sanpower Group Co., Ltd., a company in the technology and modern service industries. From December 2010 to February 2014, he served as vice president and chief financial officer of China Zenix Auto International Co., Ltd.,. Mr. Li is also currently a director and a member of the audit committee for a number of companies, including Xinyuan Real Estate Co., Ltd. (NYSE: XIN), Sunlands Technology Group (NYSE: STG), 36Kr Holdings Inc. (Nasdaq: KRKR). Mr. Li received his MBA from the University of Chicago Booth School of Business in 2000, his master’s degree in accounting from University of Texas at Dallas in 1994, and his bachelor’s degree in economics from Fudan University in 1989. Mr. Li is a Certified Public Accountant in the United States and a Chartered Global Management Accountant.</w:t>
      </w:r>
    </w:p>
    <w:p>
      <w:pPr>
        <w:spacing w:after="0" w:line="12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Dr. Taisu Zhang </w:t>
      </w:r>
      <w:r>
        <w:rPr>
          <w:rFonts w:ascii="Times New Roman" w:cs="Times New Roman" w:eastAsia="Times New Roman" w:hAnsi="Times New Roman"/>
          <w:sz w:val="18"/>
          <w:szCs w:val="18"/>
          <w:color w:val="auto"/>
        </w:rPr>
        <w:t>has served as our independent director since April 2025. Dr. Zhang is a Professor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at Yale Law School and a scholar of comparative legal and economic history. He also serves as a Global Faculty member at Peking University Law School, and holds secondary appointments at Yale University in the History Department and the Jackson School of Global Affairs. Before joining Yale Law School, Dr. Zhang taught at Duke University School of Law, the University of Hong Kong, Brown University, and Tsinghua University School of Law. Dr. Zhang obtained his bachelor's degree in history and mathematics from Yale University in 2005, his Juris Doctor degree from Yale Law School in 2008, and his Ph.D degree in history from Yale University in 2014.</w:t>
      </w:r>
    </w:p>
    <w:p>
      <w:pPr>
        <w:spacing w:after="0" w:line="11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Ms. Yi Wang </w:t>
      </w:r>
      <w:r>
        <w:rPr>
          <w:rFonts w:ascii="Times New Roman" w:cs="Times New Roman" w:eastAsia="Times New Roman" w:hAnsi="Times New Roman"/>
          <w:sz w:val="18"/>
          <w:szCs w:val="18"/>
          <w:color w:val="auto"/>
        </w:rPr>
        <w:t>has served as our independent director since April 2025. Ms. Wang currently serves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counsel of Alibaba Cloud Intelligence Group and previously served as general counsel of Kingsoft Cloud Holdings Limited (Nasdaq: KC; HKEx: 3896) from May 2021 to August 2023. Prior to that, Ms. Wang worked as an executive director within the legal division at Goldman Sachs Services (Asia) LLC from May 2014 to May 2021. Prior to that, Ms. Wang practiced law with Latham &amp; Watkins LLP as an associate from September 2013 to May 2014, and with Simpson Thacher &amp; Bartlett LLP as an associate from October 2007 to August 2013. Ms. Wang received her bachelor of arts degree majoring in English literature from Kinjo Gakuin University in 2000, her master of arts in law from Waseda University in 2003, and her Juris Doctor from Duke Law School in 2006. Ms. Wang was admitted to the New York State bar in November 2008.</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Each of our executive officers is employed for a specified time period, which can be renewed upon both parties’ agreement before the end of the current employment term. We may terminate an executive officer’s employment by giving a prior written notice or by paying certain compensation. An executive officer may terminate his or her employment at any time by giving a prior written notice.</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Each executive officer has agreed to hold, unless expressly consented to by us, at all times during and after the termination of his or her employment agreement, in strict confidence and not to use, any of our confidential information or the confidential information of our consumers and suppliers. In addition, each executive officer has agreed to be bound by certain non-competition and non-solicitation restrictions during the term of his or her employment and for two years following the last date of employment.</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4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Our board of directors consists of seven directors, including three independent directors, namely Mr. Yifan Li, Mr. Taisu Zhang and Ms. Yi Wang. A director is not required to hold any shares in our company to qualify to serve as a director. The Corporate Governance Rules of Nasdaq generally require that a majority of an issuer’s board of directors must consist of independent directors. However, the Corporate Governance Rules of Nasdaq permit foreign private issuers like us to follow “home country practice” in certain corporate governance matters. We rely on this “home country practice” exception and do not have a majority of independent directors serving on our board of directors.</w:t>
      </w:r>
    </w:p>
    <w:p>
      <w:pPr>
        <w:spacing w:after="0" w:line="114"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 director who is in any way, whether directly or indirectly, interested in a contract or proposed contract with our company is required to declare the nature of his or her interest at a meeting of our directors. A general notice given to the directors by any director to the effect that he or 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123"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will be a “controlled company” as defined under the Nasdaq Stock Market Rules because Mr. Junjie Zhang will beneficially own more than 50% of our total voting power upon the completion of this offering. For so long as we remain a controlled company under that definition, we are permitted to, and currently intend to elect to rely on certain exemptions from corporate governance rules, including:</w:t>
      </w:r>
    </w:p>
    <w:p>
      <w:pPr>
        <w:spacing w:after="0" w:line="69" w:lineRule="exact"/>
        <w:rPr>
          <w:sz w:val="20"/>
          <w:szCs w:val="20"/>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rule that a majority of our board of directors must be independent directors;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rule that each of our compensation committee members must be an independent director;</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rule that the compensation of our chief executive officer must be determined or recommended solely by independent directors;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rule that our director nominees must be selected or recommended solely by independent directors.</w:t>
      </w:r>
    </w:p>
    <w:p>
      <w:pPr>
        <w:spacing w:after="0" w:line="9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As a result, you will not have the same protection afforded to shareholders of companies that are subject to these corporate governance requirements.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Strategic Advisor to the Board of Directors</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As part of our commitment to sustainable growth and responsible governance, we have appointed Mr. Max Baucus as a strategic advisor to our board of directors, effective immediately upon the SEC’s declaration of effectiveness of our registration statement on Form F-1, of which this prospectus is a part. Mr. Baucus will provide counsel on our international expansion and ESG practices. Mr. Baucus is a distinguished public servant with a career spanning over four decades. As the United States Ambassador to China from 2014 to 2017, he played a crucial role in strengthening U.S.-China relations. Prior to his ambassadorship, Mr. Baucus was a U.S. Senator from Montana for 36 years, during which he was the chairman of the Senate Committee on Finance, and a member of the Senate Committee on Environment and</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Public Works, among other crucial roles. His expertise in international commerce, environment and public welfare makes him well-suited to guide our strategic initiatives and ESG practices as we expand our global footprint.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have established an audit committee, a compensation committee and a nominating and corporate governance committee under our board of directors. Each committee’s members and functions are described below.</w:t>
      </w:r>
    </w:p>
    <w:p>
      <w:pPr>
        <w:spacing w:after="0" w:line="9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Our audit committee consists of Mr. Yifan Li, Mr. Taisu Zhang and Ms. Yi Wang,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is chaired by Mr. Yifan Li. We have determined that each of Mr. Yifan Li, Mr. Taisu Zhang and Ms. Yi Wang satisfies the requirements of Rule 5605(a)(2) of the Listing Rules of the Nasdaq and meet the independence standards under Rule 10A- 3 under the Securities Exchange Act of 1934, as amended. We have determined that Mr. Yifan Li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58" w:lineRule="exact"/>
        <w:rPr>
          <w:sz w:val="20"/>
          <w:szCs w:val="20"/>
          <w:color w:val="auto"/>
        </w:rPr>
      </w:pPr>
    </w:p>
    <w:p>
      <w:pPr>
        <w:jc w:val="both"/>
        <w:ind w:left="1800" w:right="419" w:hanging="180"/>
        <w:spacing w:after="0" w:line="275"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for approval, the appointment, re-appointment or removal of the independent auditor, after considering its annual performance evaluation of the independent auditor;</w:t>
      </w:r>
    </w:p>
    <w:p>
      <w:pPr>
        <w:spacing w:after="0" w:line="28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remuneration and terms of engagement of the independent auditor and pre-approving all auditing and non-auditing services permitted to be performed by our independent auditors at least annually;</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 written report from our independent auditor describing matters relating to its independence and quality control procedures;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registered public accounting firm any audit problems or difficulties and management’s response;</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auditor, among other things, the audits of the financial statements, including whether any material information should be disclosed, issues regarding accounting and auditing principles and practices;</w:t>
      </w:r>
    </w:p>
    <w:p>
      <w:pPr>
        <w:spacing w:after="0" w:line="5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 as defined in Item 404 of Regulation S-K under the Securities Act;</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the financial statements for inclusion within our quarterly earnings releases and to our board for inclusion in our annual reports;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registered public accounting firm;</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special steps taken to monitor and control major financial risk exposures;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reassessing the adequacy of the committee charter;</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annual audit plans, and undertaking an annual performance evaluation of the internal audit function;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handling of complaints and whistleblowing;</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registered public accounting firm;</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board.</w:t>
      </w:r>
    </w:p>
    <w:p>
      <w:pPr>
        <w:spacing w:after="0" w:line="140" w:lineRule="exact"/>
        <w:rPr>
          <w:sz w:val="20"/>
          <w:szCs w:val="20"/>
          <w:color w:val="auto"/>
        </w:rPr>
      </w:pPr>
    </w:p>
    <w:p>
      <w:pPr>
        <w:ind w:left="1260" w:right="4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Our compensation committee consists of Mr.  Junjie Zhang, Mr. Dengfeng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Yin and Mr. Yifan Li and is chaired by Mr. Junjie Zhang. We have determined that Mr. Yifan Li satisfies the</w:t>
      </w:r>
    </w:p>
    <w:p>
      <w:pPr>
        <w:sectPr>
          <w:pgSz w:w="11900" w:h="16838" w:orient="portrait"/>
          <w:cols w:equalWidth="0" w:num="1">
            <w:col w:w="9879"/>
          </w:cols>
          <w:pgMar w:left="580" w:top="97" w:right="1440" w:bottom="1440" w:gutter="0" w:footer="0" w:header="0"/>
        </w:sectPr>
      </w:pPr>
    </w:p>
    <w:p>
      <w:pPr>
        <w:spacing w:after="0" w:line="3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“independence” requirements of Rule 5605(a)(2) of the Listing Rules of Nasdaq. The compensation committee assists the board in reviewing and approving the compensation structure, including all forms of compensation, relating to our directors and executive officers. Our chief executive officer may not be present at any committee meeting during which their compensation is deliberated upon. The compensation committee is responsible for, among other things:</w:t>
      </w:r>
    </w:p>
    <w:p>
      <w:pPr>
        <w:spacing w:after="0" w:line="69" w:lineRule="exact"/>
        <w:rPr>
          <w:sz w:val="20"/>
          <w:szCs w:val="20"/>
          <w:color w:val="auto"/>
        </w:rPr>
      </w:pPr>
    </w:p>
    <w:p>
      <w:pPr>
        <w:ind w:left="1800" w:right="419" w:hanging="180"/>
        <w:spacing w:after="0" w:line="282"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development and implementation of compensation programs in consultation with our management;</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approving, or recommending to the board for its approval, the compensation for our executive officers;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recommending to the board for determination with respect to the compensation of our non-executive directors;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periodically and approving any incentive compensation or equity plans, programs or other similar arrangements;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executive officer and director indemnification and insurance matters;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regulatory compliance with respect to compensation matters, including our policies on restrictions on compensation plans and loans to directors and executive officers;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reassessing the adequacy of the committee charter;</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board.</w:t>
      </w:r>
    </w:p>
    <w:p>
      <w:pPr>
        <w:spacing w:after="0" w:line="154" w:lineRule="exact"/>
        <w:rPr>
          <w:sz w:val="20"/>
          <w:szCs w:val="20"/>
          <w:color w:val="auto"/>
        </w:rPr>
      </w:pPr>
    </w:p>
    <w:p>
      <w:pPr>
        <w:jc w:val="both"/>
        <w:ind w:left="1260" w:right="41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r>
        <w:rPr>
          <w:rFonts w:ascii="Times New Roman" w:cs="Times New Roman" w:eastAsia="Times New Roman" w:hAnsi="Times New Roman"/>
          <w:sz w:val="18"/>
          <w:szCs w:val="18"/>
          <w:color w:val="auto"/>
        </w:rPr>
        <w:t>. Our nominating and corporate governance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Mr. Junjie Zhang, Mr. Mian Lu and Ms. Yi Wang, and is chaired by Mr. Junjie Zhang. We have determined that Ms. Yi Wang satisfies the “independence” requirements of Rule 5605(a)(2) of the Listing Rules of Nasdaq.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71" w:lineRule="exact"/>
        <w:rPr>
          <w:sz w:val="20"/>
          <w:szCs w:val="20"/>
          <w:color w:val="auto"/>
        </w:rPr>
      </w:pPr>
    </w:p>
    <w:p>
      <w:pPr>
        <w:ind w:left="1800" w:right="419" w:hanging="180"/>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nominees to the board for election or re-election to the board, or for appointment to fill any vacancy on the board;</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expertise, diversity and availability of service to us;</w:t>
      </w:r>
    </w:p>
    <w:p>
      <w:pPr>
        <w:spacing w:after="0" w:line="281"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such policies and procedures with respect to nomination or appointment of members of our board and chairs and members of its committees or other corporate governance matters as may be required pursuant to any SEC or Nasdaq rules, or otherwise considered desirable and appropriate;</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the names of directors to serve as members of the audit committee and the compensation committee, as well as of the nominating and corporate governance committee itself;</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reassessing the adequacy of the committee charter;</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reviewing at least annually the corporate governance principles adopted by the board and advising the board with respect to significant developments in the law and practice of corporate governance and our compliance with such laws and practices;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and effectiveness of the board as a whole.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Duties and Functions of Directors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directors must also exercise their powers only for a proper purpose. Our directors also owe to our company a duty to exercise the skill they actually possess and such care and diligence that a reasonable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 In accordance with our post-offering amended and restated articles of association, the functions and powers of our board of directors include, among others, (i) convening shareholders’ annual general meetings and reporting its work to shareholders at such meetings, (ii) declaring dividends,</w:t>
      </w:r>
    </w:p>
    <w:p>
      <w:pPr>
        <w:spacing w:after="0" w:line="5" w:lineRule="exact"/>
        <w:rPr>
          <w:sz w:val="20"/>
          <w:szCs w:val="20"/>
          <w:color w:val="auto"/>
        </w:rPr>
      </w:pPr>
    </w:p>
    <w:p>
      <w:pPr>
        <w:jc w:val="both"/>
        <w:ind w:left="1260" w:right="419"/>
        <w:spacing w:after="0" w:line="243" w:lineRule="auto"/>
        <w:tabs>
          <w:tab w:leader="none" w:pos="161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their terms of offices and responsibilities, and (iv) approving the transfer of shares of our company, including the registering of such shares in our share register. In addition, in the event of a tie vote, the chairman of our board of directors has, in addition to his personal vote, the right to cast a tie-breaking vote.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62"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Each director shall hold such position for two years upon the SEC’s declaration of effectiveness of our registration statement on Form F-1 to which this prospectus forms a part, or until such time as such individual resigns or is removed, replaced or otherwise disqualified in accordance with our post-offering amended and restated memorandum and articles of association and applicable director agreements, whichever is earlier. Upon the expiry of the initial two-year term, each director that remains on our board of directors may be re-appointed by the board or re-elected by an ordinary resolution of our shareholders in accordance with our post-offering amended and restated memorandum and articles of association, and in the event a director is to be re-appointed by our board of directors, such director shall recuse himself or herself from voting on the resolution regarding his or her own re-appointment. For the avoidance of doubt, the director may exercise his or her voting rights with respect to the re-election and reappointment of other directors. A director will be removed from office automatically if, among other things, the director (i) dies, becomes bankrupt or makes any arrangement or composition with his creditors; (ii) is found by our company to be of unsound mind; (iii) resigns by notice in writing to our company; (iv) is prohibited by any applicable law or Nasdaq listing rules from being a Director, or (v) is removed from office pursuant to any other provision of our post-offering amended and restated memorandum and articles of association.</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Interested Transactions</w:t>
      </w:r>
    </w:p>
    <w:p>
      <w:pPr>
        <w:spacing w:after="0" w:line="14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 director may, subject to any separate requirement for audit committee approval under applicable law or applicable Nasdaq rules, vote in respect of any contract or transaction in which he or she is interested,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the nature of the interest of any directors in such contract or transaction is disclosed by him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 at or prior to its consideration and any vote in that matter.</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 2024, we paid an aggregate of RMB66.2 million (US$9.1 million) in cash to our directors and executive officers. We have not set aside or accrued any amount to provide for pension, retirement or other similar benefits to our directors and executive officers. For equity incentive grants to our directors and executive officers, see “Management — Equity Incentive Plan.”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Public Company Share Incentive Plan</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adopted the Public Company Share Incentive Plan, or the Plan, in February 2024. The purpose of the Plan is to motivate and reward employees and other individuals to perform at the highest level and contribute significantly to our success, thereby furthering the best interests of our shareholders.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Shares Available for Awards. </w:t>
      </w:r>
      <w:r>
        <w:rPr>
          <w:rFonts w:ascii="Times New Roman" w:cs="Times New Roman" w:eastAsia="Times New Roman" w:hAnsi="Times New Roman"/>
          <w:sz w:val="18"/>
          <w:szCs w:val="18"/>
          <w:color w:val="auto"/>
        </w:rPr>
        <w:t>Under the Plan, the maximum aggregate number of ordinary shares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authorized to issue pursuant to equity awards granted thereunder is 28,061,349 Class A ordinary shares prior to this offering. Any shares subject to awards granted under the Plan that are forfeited, cancelled, expire, terminate or otherwise lapse or are settled in cash without the delivery of shares, as well as shares used to pay the purchase or exercise price of such awards or used to satisfy tax withholding obligations, shall become available for new award grants under the Plan. As of the date of this prospectus, options to purchase a total of 11,092,248 Class A ordinary shares have been granted and remain outstanding under the Plan. Effective from and after the completion of this offering, the share limit will be increased automatically on January 1 of a calendar year, if and when the Class A ordinary shares reserved (which, for the avoidance of doubt, means the number of Class A ordinary shares that remain available for grant under the Plan (including any Class A ordinary shares repurchased and converted into treasury shares as determined by the committee) after excluding the total number of Class A ordinary shares underlying the awards granted previously that remain outstanding) as of December 31 of the immediately preceding calendar year account for less than 1% of the total then-issued and outstanding Class A ordinary shares on an as-converted basis on the same date, as a result of which increase the share limit immediately after each such increase shall equal 5% of the then-issued and outstanding Class A ordinary shares on an as-converted basis on December 31 of the immediately preceding calendar year.</w:t>
      </w:r>
    </w:p>
    <w:p>
      <w:pPr>
        <w:spacing w:after="0" w:line="343"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Terms of Awards and the Plan. </w:t>
      </w:r>
      <w:r>
        <w:rPr>
          <w:rFonts w:ascii="Times New Roman" w:cs="Times New Roman" w:eastAsia="Times New Roman" w:hAnsi="Times New Roman"/>
          <w:sz w:val="18"/>
          <w:szCs w:val="18"/>
          <w:color w:val="auto"/>
        </w:rPr>
        <w:t>The Plan will expire ten years from its effective date or be terminated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Board’s determination to terminate the Plan. However, the plan administrator will retain its authority until all outstanding awards are exercised or terminated.</w:t>
      </w:r>
    </w:p>
    <w:p>
      <w:pPr>
        <w:spacing w:after="0" w:line="103"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Eligibility. </w:t>
      </w:r>
      <w:r>
        <w:rPr>
          <w:rFonts w:ascii="Times New Roman" w:cs="Times New Roman" w:eastAsia="Times New Roman" w:hAnsi="Times New Roman"/>
          <w:sz w:val="18"/>
          <w:szCs w:val="18"/>
          <w:color w:val="auto"/>
        </w:rPr>
        <w:t>Our employees, consultants or directors or any employees, consultants or directors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or any individuals who devote substantially all of their time and efforts to our business, management and operation or the business, management and operation of any of our subsidiaries are eligible to receive awards under the Plan.</w:t>
      </w:r>
    </w:p>
    <w:p>
      <w:pPr>
        <w:spacing w:after="0" w:line="95" w:lineRule="exact"/>
        <w:rPr>
          <w:sz w:val="20"/>
          <w:szCs w:val="20"/>
          <w:color w:val="auto"/>
        </w:rPr>
      </w:pPr>
    </w:p>
    <w:p>
      <w:pPr>
        <w:ind w:left="1620"/>
        <w:spacing w:after="0"/>
        <w:tabs>
          <w:tab w:leader="none" w:pos="2960" w:val="left"/>
        </w:tabs>
        <w:rPr>
          <w:sz w:val="20"/>
          <w:szCs w:val="20"/>
          <w:color w:val="auto"/>
        </w:rPr>
      </w:pPr>
      <w:r>
        <w:rPr>
          <w:rFonts w:ascii="Times New Roman" w:cs="Times New Roman" w:eastAsia="Times New Roman" w:hAnsi="Times New Roman"/>
          <w:sz w:val="18"/>
          <w:szCs w:val="18"/>
          <w:b w:val="1"/>
          <w:bCs w:val="1"/>
          <w:color w:val="auto"/>
        </w:rPr>
        <w:t>Administration.</w:t>
      </w:r>
      <w:r>
        <w:rPr>
          <w:sz w:val="20"/>
          <w:szCs w:val="20"/>
          <w:color w:val="auto"/>
        </w:rPr>
        <w:tab/>
      </w:r>
      <w:r>
        <w:rPr>
          <w:rFonts w:ascii="Times New Roman" w:cs="Times New Roman" w:eastAsia="Times New Roman" w:hAnsi="Times New Roman"/>
          <w:sz w:val="18"/>
          <w:szCs w:val="18"/>
          <w:color w:val="auto"/>
        </w:rPr>
        <w:t>Our board of directors or a committee appointed by the board administers the Plan.</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plan administrator has broad authority to:</w:t>
      </w:r>
    </w:p>
    <w:p>
      <w:pPr>
        <w:spacing w:after="0" w:line="99" w:lineRule="exact"/>
        <w:rPr>
          <w:sz w:val="20"/>
          <w:szCs w:val="20"/>
          <w:color w:val="auto"/>
        </w:rPr>
      </w:pPr>
    </w:p>
    <w:p>
      <w:pPr>
        <w:ind w:left="1800" w:hanging="180"/>
        <w:spacing w:after="0"/>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participants and determine the types of awards that they are to receive;</w:t>
      </w:r>
    </w:p>
    <w:p>
      <w:pPr>
        <w:spacing w:after="0" w:line="157" w:lineRule="exact"/>
        <w:rPr>
          <w:rFonts w:ascii="Times New Roman" w:cs="Times New Roman" w:eastAsia="Times New Roman" w:hAnsi="Times New Roman"/>
          <w:sz w:val="18"/>
          <w:szCs w:val="18"/>
          <w:color w:val="auto"/>
        </w:rPr>
      </w:pPr>
    </w:p>
    <w:p>
      <w:pPr>
        <w:jc w:val="both"/>
        <w:ind w:left="1820" w:right="4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that are to be subject to awards and the terms and conditions of awards, including the price (if any) to be paid for the award and the vesting conditions (if applicable) of such awards, and prescribe the form of each award agreement;</w:t>
      </w:r>
    </w:p>
    <w:p>
      <w:pPr>
        <w:spacing w:after="0" w:line="108" w:lineRule="exact"/>
        <w:rPr>
          <w:rFonts w:ascii="Times New Roman" w:cs="Times New Roman" w:eastAsia="Times New Roman" w:hAnsi="Times New Roman"/>
          <w:sz w:val="18"/>
          <w:szCs w:val="18"/>
          <w:color w:val="auto"/>
        </w:rPr>
      </w:pPr>
    </w:p>
    <w:p>
      <w:pPr>
        <w:ind w:left="1820" w:right="4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under what circumstances and by which methods awards may be settled, exercised canceled, forfeited, suspended or deferred;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modify or waive our rights with respect to, or modify, discontinue, suspend or terminate any or all outstanding awards, subject to any required consents;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the terms of the Plan and any agreements relating to the Plan;</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supply any omission and reconcile any inconsistency (including any actions required under the applicable clawback rules of a securities exchange) in the Plan or any award;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extend the vesting or exercisability or extend the term of any or all outstanding awards subject to any required consent;</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the Plan, amend the terms and conditions of one or more outstanding awards (including repricing the exercise or base price of any outstanding option or stock appreciation right without shareholder approval) and authorize the termination, conversion, substitution or succession of awards; and</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amend, suspend or waive such rules and regulations and appoint such agents, trustees, brokers, depositories and advisors and determine such terms of their engagement as it shall deem appropriate for the proper administration of the Plan and due compliance with applicable law, stock market or exchange rules and regulations or accounting or tax rules and regulations; make any other determination and take any other action that the administrator deems necessary or desirable for the</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97" w:lineRule="auto"/>
        <w:rPr>
          <w:sz w:val="20"/>
          <w:szCs w:val="20"/>
          <w:color w:val="auto"/>
        </w:rPr>
      </w:pPr>
      <w:r>
        <w:rPr>
          <w:rFonts w:ascii="Times New Roman" w:cs="Times New Roman" w:eastAsia="Times New Roman" w:hAnsi="Times New Roman"/>
          <w:sz w:val="18"/>
          <w:szCs w:val="18"/>
          <w:color w:val="auto"/>
        </w:rPr>
        <w:t>administration of the Plan and due compliance with applicable law, stock market or exchange rules and regulations or accounting or tax rules and regulations.</w:t>
      </w:r>
    </w:p>
    <w:p>
      <w:pPr>
        <w:spacing w:after="0" w:line="78" w:lineRule="exact"/>
        <w:rPr>
          <w:sz w:val="20"/>
          <w:szCs w:val="20"/>
          <w:color w:val="auto"/>
        </w:rPr>
      </w:pPr>
    </w:p>
    <w:p>
      <w:pPr>
        <w:jc w:val="both"/>
        <w:ind w:left="1260" w:right="419" w:firstLine="360"/>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Types of Awards. </w:t>
      </w:r>
      <w:r>
        <w:rPr>
          <w:rFonts w:ascii="Times New Roman" w:cs="Times New Roman" w:eastAsia="Times New Roman" w:hAnsi="Times New Roman"/>
          <w:sz w:val="18"/>
          <w:szCs w:val="18"/>
          <w:color w:val="auto"/>
        </w:rPr>
        <w:t>Awards under the Plan may be in the form of incentive or non-qualified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stock appreciation rights, restricted stock, restricted stock units, performance awards and other cash-based awards and other stock-based awards. Awards under the Plan generally will not be transferable other than by will or the laws of descent and distribution, except that the plan administrator may authorize certain transfers. Awards are generally paid in cash or our Class A ordinary shares. The plan administrator may provide for the deferred payment of awards and may determine the terms applicable to deferrals.</w:t>
      </w:r>
    </w:p>
    <w:p>
      <w:pPr>
        <w:spacing w:after="0" w:line="101"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Options and Stock Appreciation Rights Pricing. </w:t>
      </w:r>
      <w:r>
        <w:rPr>
          <w:rFonts w:ascii="Times New Roman" w:cs="Times New Roman" w:eastAsia="Times New Roman" w:hAnsi="Times New Roman"/>
          <w:sz w:val="18"/>
          <w:szCs w:val="18"/>
          <w:color w:val="auto"/>
        </w:rPr>
        <w:t>Options and stock appreciation rights may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Plan at exercise prices below the fair market value of the underlying ordinary shares on the date of grant, except that the plan administrator may grant such awards with exercise prices below the fair market value of the underlying shares to plan participants who are not subject to U.S. taxation. In addition, the plan administrator may adjust the exercise price of the options or stock appreciation rights and cancel outstanding options or stock appreciation rights without shareholder approval or consent of the participant. These and other awards may also be issued solely or in part for services.</w:t>
      </w:r>
    </w:p>
    <w:p>
      <w:pPr>
        <w:spacing w:after="0" w:line="109"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Adjustments. </w:t>
      </w:r>
      <w:r>
        <w:rPr>
          <w:rFonts w:ascii="Times New Roman" w:cs="Times New Roman" w:eastAsia="Times New Roman" w:hAnsi="Times New Roman"/>
          <w:sz w:val="18"/>
          <w:szCs w:val="18"/>
          <w:color w:val="auto"/>
        </w:rPr>
        <w:t>The number and type of shares available under the Plan and any outstanding awards,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the exercise or purchase prices of awards, will be subject to equitable adjustment in the event of certain reorganizations, mergers, combinations, recapitalizations, share splits, share dividends or other similar events that change the number or kind of shares outstanding, and extraordinary dividends or distributions of property to the shareholders.</w:t>
      </w:r>
    </w:p>
    <w:p>
      <w:pPr>
        <w:spacing w:after="0" w:line="100"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Certain Transactions. </w:t>
      </w:r>
      <w:r>
        <w:rPr>
          <w:rFonts w:ascii="Times New Roman" w:cs="Times New Roman" w:eastAsia="Times New Roman" w:hAnsi="Times New Roman"/>
          <w:sz w:val="18"/>
          <w:szCs w:val="18"/>
          <w:color w:val="auto"/>
        </w:rPr>
        <w:t>In the event that we experience a “change in control” (as​ defined in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administrator has discretion to take action under the Plan. To the extent that the surviving entity in the change in control declines to assume or substitute for outstanding awards, the plan administrator may provide that all such awards will terminate in exchange for cash or other consideration, or become fully vested and exercisable in connection with the transaction. Upon or in anticipation of a change in control, the plan administrator may cause any outstanding awards to terminate at a specified time in the future and give the participant the right to exercise such awards during a period of time determined by the plan administrator in its sole discretion. Individual award agreements may provide for additional accelerated vesting and payment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the date of this prospectus, the number of Class A ordinary shares underlying outstanding options we granted to our directors and executive officers: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Ordinary 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Underlying Options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(US$/Share)</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 of Expiration</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spacing w:after="0"/>
              <w:rPr>
                <w:sz w:val="21"/>
                <w:szCs w:val="21"/>
                <w:color w:val="auto"/>
              </w:rPr>
            </w:pP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CEEFF"/>
          </w:tcPr>
          <w:p>
            <w:pPr>
              <w:spacing w:after="0"/>
              <w:rPr>
                <w:sz w:val="21"/>
                <w:szCs w:val="21"/>
                <w:color w:val="auto"/>
              </w:rPr>
            </w:pP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Junjie Zhang</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US$3.7614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2024</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2034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Dengfeng Yin</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US$0.0000005 to</w:t>
            </w: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Various dates from</w:t>
            </w:r>
          </w:p>
        </w:tc>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Various dates from</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US$3.7614</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25, 2022 to</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25, 2032 to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1, 2024</w:t>
            </w: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1, 2034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Mian Lu</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US$0.0000015 to</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Various dates from</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Various dates from</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US$3.7614</w:t>
            </w: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25, 2022 to</w:t>
            </w:r>
          </w:p>
        </w:tc>
        <w:tc>
          <w:tcPr>
            <w:tcW w:w="200" w:type="dxa"/>
            <w:vAlign w:val="bottom"/>
          </w:tcPr>
          <w:p>
            <w:pPr>
              <w:spacing w:after="0"/>
              <w:rPr>
                <w:sz w:val="18"/>
                <w:szCs w:val="18"/>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25, 2032 to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2024</w:t>
            </w:r>
          </w:p>
        </w:tc>
        <w:tc>
          <w:tcPr>
            <w:tcW w:w="2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Hongfei Huang</w:t>
            </w: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(Aaron)</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US$3.7614</w:t>
            </w: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February 27, 2025</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10, 2034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Wei Jen Hu</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US$0.000001 to</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Various dates from</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Various dates from</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US$3.7614</w:t>
            </w: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25, 2022 to</w:t>
            </w:r>
          </w:p>
        </w:tc>
        <w:tc>
          <w:tcPr>
            <w:tcW w:w="200" w:type="dxa"/>
            <w:vAlign w:val="bottom"/>
          </w:tcPr>
          <w:p>
            <w:pPr>
              <w:spacing w:after="0"/>
              <w:rPr>
                <w:sz w:val="18"/>
                <w:szCs w:val="18"/>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25, 2032 to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2024</w:t>
            </w:r>
          </w:p>
        </w:tc>
        <w:tc>
          <w:tcPr>
            <w:tcW w:w="2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1740" w:type="dxa"/>
            <w:vAlign w:val="bottom"/>
            <w:gridSpan w:val="2"/>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25"/>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 Xu</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US$0.0000015 to</w:t>
            </w: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Various dates from</w:t>
            </w:r>
          </w:p>
        </w:tc>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Various dates from</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US$3.7614</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25, 2022 to</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25, 2032 to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5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1, 2024</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1, 2034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Non-Employee</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spacing w:after="0"/>
              <w:rPr>
                <w:sz w:val="21"/>
                <w:szCs w:val="21"/>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spacing w:after="0"/>
              <w:rPr>
                <w:sz w:val="21"/>
                <w:szCs w:val="21"/>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Yong Zhang</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Yifan Li</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Taisu Zhang</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Yi Wang</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w:t>
            </w: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executive officers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as a group</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120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​3,164,801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-3848100</wp:posOffset>
            </wp:positionV>
            <wp:extent cx="52120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Note:</w:t>
      </w:r>
    </w:p>
    <w:p>
      <w:pPr>
        <w:spacing w:after="0" w:line="77" w:lineRule="exact"/>
        <w:rPr>
          <w:sz w:val="20"/>
          <w:szCs w:val="20"/>
          <w:color w:val="auto"/>
        </w:rPr>
      </w:pPr>
    </w:p>
    <w:p>
      <w:pPr>
        <w:ind w:left="1620" w:right="419" w:hanging="360"/>
        <w:spacing w:after="0" w:line="282" w:lineRule="auto"/>
        <w:tabs>
          <w:tab w:leader="none" w:pos="1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total issued and outstanding shares on an as-converted basis outstanding as of the date of this prospectus.</w:t>
      </w:r>
    </w:p>
    <w:p>
      <w:pPr>
        <w:spacing w:after="0" w:line="9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our employees and other qualified individuals other than members of our senior management as a group held options to acquire a total of 7,927,447 Class A ordinary shares granted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concerning the beneficial ownership of our ordinary shares as of the date of this prospectus, assuming the conversion of all of the issued and outstanding preferred shares into Class A ordinary shares on a one-for-one basis by:</w:t>
      </w:r>
    </w:p>
    <w:p>
      <w:pPr>
        <w:spacing w:after="0" w:line="61" w:lineRule="exact"/>
        <w:rPr>
          <w:sz w:val="20"/>
          <w:szCs w:val="20"/>
          <w:color w:val="auto"/>
        </w:rPr>
      </w:pPr>
    </w:p>
    <w:p>
      <w:pPr>
        <w:ind w:left="1800" w:hanging="180"/>
        <w:spacing w:after="0"/>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our ordinary share.</w:t>
      </w:r>
    </w:p>
    <w:p>
      <w:pPr>
        <w:spacing w:after="0" w:line="15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calculations in the table below are based on (i) 168,865,901 ordinary shares on an as-converted basis issued and outstanding as of the date of this prospectus, and (ii) 118,275,785 Class A ordinary shares and 65,274,107 Class B ordinary shares issued and outstanding immediately after the completion of this offering, including 14,683,991 Class A ordinary shares represented by 14,683,991 ADSs to be sold by us in this offering, assuming that the underwriters do not exercise their option to purchase additional ADSs.</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60" w:type="dxa"/>
            <w:vAlign w:val="bottom"/>
          </w:tcPr>
          <w:p>
            <w:pPr>
              <w:spacing w:after="0"/>
              <w:rPr>
                <w:sz w:val="14"/>
                <w:szCs w:val="14"/>
                <w:color w:val="auto"/>
              </w:rPr>
            </w:pPr>
          </w:p>
        </w:tc>
      </w:tr>
      <w:tr>
        <w:trPr>
          <w:trHeight w:val="162"/>
        </w:trPr>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Voting</w:t>
            </w:r>
          </w:p>
        </w:tc>
        <w:tc>
          <w:tcPr>
            <w:tcW w:w="60" w:type="dxa"/>
            <w:vAlign w:val="bottom"/>
          </w:tcPr>
          <w:p>
            <w:pPr>
              <w:spacing w:after="0"/>
              <w:rPr>
                <w:sz w:val="14"/>
                <w:szCs w:val="14"/>
                <w:color w:val="auto"/>
              </w:rPr>
            </w:pPr>
          </w:p>
        </w:tc>
      </w:tr>
      <w:tr>
        <w:trPr>
          <w:trHeight w:val="162"/>
        </w:trPr>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9"/>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Ordinary Shares Beneficially</w:t>
            </w:r>
          </w:p>
        </w:tc>
        <w:tc>
          <w:tcPr>
            <w:tcW w:w="8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Power after</w:t>
            </w:r>
          </w:p>
        </w:tc>
        <w:tc>
          <w:tcPr>
            <w:tcW w:w="60" w:type="dxa"/>
            <w:vAlign w:val="bottom"/>
          </w:tcPr>
          <w:p>
            <w:pPr>
              <w:spacing w:after="0"/>
              <w:rPr>
                <w:sz w:val="14"/>
                <w:szCs w:val="14"/>
                <w:color w:val="auto"/>
              </w:rPr>
            </w:pPr>
          </w:p>
        </w:tc>
      </w:tr>
      <w:tr>
        <w:trPr>
          <w:trHeight w:val="214"/>
        </w:trPr>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gridSpan w:val="9"/>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Prior to the Offering</w:t>
            </w:r>
          </w:p>
        </w:tc>
        <w:tc>
          <w:tcPr>
            <w:tcW w:w="2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248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Owned after the Offering</w:t>
            </w:r>
          </w:p>
        </w:tc>
        <w:tc>
          <w:tcPr>
            <w:tcW w:w="880" w:type="dxa"/>
            <w:vAlign w:val="bottom"/>
            <w:gridSpan w:val="5"/>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the Offering</w:t>
            </w:r>
            <w:r>
              <w:rPr>
                <w:rFonts w:ascii="Times New Roman" w:cs="Times New Roman" w:eastAsia="Times New Roman" w:hAnsi="Times New Roman"/>
                <w:sz w:val="24"/>
                <w:szCs w:val="24"/>
                <w:b w:val="1"/>
                <w:bCs w:val="1"/>
                <w:color w:val="auto"/>
                <w:vertAlign w:val="subscript"/>
              </w:rPr>
              <w:t>​</w:t>
            </w:r>
          </w:p>
        </w:tc>
      </w:tr>
      <w:tr>
        <w:trPr>
          <w:trHeight w:val="171"/>
        </w:trPr>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6"/>
          </w:tcPr>
          <w:p>
            <w:pPr>
              <w:jc w:val="right"/>
              <w:ind w:right="6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1340" w:type="dxa"/>
            <w:vAlign w:val="bottom"/>
            <w:gridSpan w:val="6"/>
          </w:tcPr>
          <w:p>
            <w:pPr>
              <w:jc w:val="right"/>
              <w:ind w:right="8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1320" w:type="dxa"/>
            <w:vAlign w:val="bottom"/>
            <w:gridSpan w:val="6"/>
          </w:tcPr>
          <w:p>
            <w:pPr>
              <w:jc w:val="right"/>
              <w:ind w:right="8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128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7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4"/>
        </w:trPr>
        <w:tc>
          <w:tcPr>
            <w:tcW w:w="1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52"/>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 †:</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1"/>
                <w:szCs w:val="21"/>
                <w:color w:val="auto"/>
              </w:rPr>
            </w:pPr>
          </w:p>
        </w:tc>
        <w:tc>
          <w:tcPr>
            <w:tcW w:w="460" w:type="dxa"/>
            <w:vAlign w:val="bottom"/>
            <w:tcBorders>
              <w:right w:val="single" w:sz="8" w:color="CCEEFF"/>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1"/>
                <w:szCs w:val="21"/>
                <w:color w:val="auto"/>
              </w:rPr>
            </w:pPr>
          </w:p>
        </w:tc>
      </w:tr>
      <w:tr>
        <w:trPr>
          <w:trHeight w:val="28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Junjie Zhang</w:t>
            </w:r>
            <w:r>
              <w:rPr>
                <w:rFonts w:ascii="Times New Roman" w:cs="Times New Roman" w:eastAsia="Times New Roman" w:hAnsi="Times New Roman"/>
                <w:sz w:val="23"/>
                <w:szCs w:val="23"/>
                <w:color w:val="auto"/>
                <w:vertAlign w:val="superscript"/>
              </w:rPr>
              <w:t>(1)</w:t>
            </w:r>
          </w:p>
        </w:tc>
        <w:tc>
          <w:tcPr>
            <w:tcW w:w="552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auto"/>
              </w:rPr>
              <w:t>​​​33,598,468​​​​19.9​​​​65,274,107​​​​38.7​​​​33,598,468​​​​18.3​​​​65,274,107​​​​35.6​​​</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89.0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Dengfeng Yin</w:t>
            </w:r>
            <w:r>
              <w:rPr>
                <w:rFonts w:ascii="Times New Roman" w:cs="Times New Roman" w:eastAsia="Times New Roman" w:hAnsi="Times New Roman"/>
                <w:sz w:val="23"/>
                <w:szCs w:val="23"/>
                <w:color w:val="auto"/>
                <w:vertAlign w:val="superscript"/>
              </w:rPr>
              <w:t>(2)</w:t>
            </w:r>
          </w:p>
        </w:tc>
        <w:tc>
          <w:tcPr>
            <w:tcW w:w="15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​​​12,073,757​​​​ 7.1​​​​</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9"/>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—​​​​12,123,757​​​​ 6.6​​​​</w:t>
            </w:r>
          </w:p>
        </w:tc>
        <w:tc>
          <w:tcPr>
            <w:tcW w:w="1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Mian Lu</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Hongfei Huang (Aaron)</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Wei Jen Hu</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 Xu</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Yong Zhang</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Yifan Li</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Taisu Zhang</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 Wang</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22"/>
                <w:szCs w:val="22"/>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2"/>
                <w:szCs w:val="22"/>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22"/>
                <w:szCs w:val="22"/>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spacing w:after="0"/>
              <w:rPr>
                <w:sz w:val="22"/>
                <w:szCs w:val="22"/>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2"/>
                <w:szCs w:val="22"/>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spacing w:after="0"/>
              <w:rPr>
                <w:sz w:val="22"/>
                <w:szCs w:val="22"/>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Junjie Zhang</w:t>
            </w:r>
            <w:r>
              <w:rPr>
                <w:rFonts w:ascii="Times New Roman" w:cs="Times New Roman" w:eastAsia="Times New Roman" w:hAnsi="Times New Roman"/>
                <w:sz w:val="23"/>
                <w:szCs w:val="23"/>
                <w:color w:val="auto"/>
                <w:vertAlign w:val="superscript"/>
              </w:rPr>
              <w:t>(1)</w:t>
            </w:r>
          </w:p>
        </w:tc>
        <w:tc>
          <w:tcPr>
            <w:tcW w:w="5520" w:type="dxa"/>
            <w:vAlign w:val="bottom"/>
            <w:gridSpan w:val="2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​​​33,598,468​​​​19.9​​​​65,274,107​​​​38.7​​​​33,598,468​​​​18.3​​​​65,274,107​​​​35.6​​​</w:t>
            </w:r>
          </w:p>
        </w:tc>
        <w:tc>
          <w:tcPr>
            <w:tcW w:w="70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89.0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XVC Entities</w:t>
            </w:r>
            <w:r>
              <w:rPr>
                <w:rFonts w:ascii="Times New Roman" w:cs="Times New Roman" w:eastAsia="Times New Roman" w:hAnsi="Times New Roman"/>
                <w:sz w:val="23"/>
                <w:szCs w:val="23"/>
                <w:color w:val="auto"/>
                <w:vertAlign w:val="superscript"/>
              </w:rPr>
              <w:t>(3)</w:t>
            </w:r>
          </w:p>
        </w:tc>
        <w:tc>
          <w:tcPr>
            <w:tcW w:w="158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​​​34,265,303​​​​20.3​​​​</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color w:val="auto"/>
              </w:rPr>
              <w:t>—​​​​34,265,303​​​​18.7​​​​</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Congbi Qiushi Entities</w:t>
            </w:r>
            <w:r>
              <w:rPr>
                <w:rFonts w:ascii="Times New Roman" w:cs="Times New Roman" w:eastAsia="Times New Roman" w:hAnsi="Times New Roman"/>
                <w:sz w:val="23"/>
                <w:szCs w:val="23"/>
                <w:color w:val="auto"/>
                <w:vertAlign w:val="superscript"/>
              </w:rPr>
              <w:t>(4)</w:t>
            </w:r>
          </w:p>
        </w:tc>
        <w:tc>
          <w:tcPr>
            <w:tcW w:w="15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​​​17,837,305​​​​10.6​​​​</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9"/>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—​​​​17,837,305​​​​ 9.7​​​​</w:t>
            </w:r>
          </w:p>
        </w:tc>
        <w:tc>
          <w:tcPr>
            <w:tcW w:w="1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25"/>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Dengfeng Yin</w:t>
            </w:r>
            <w:r>
              <w:rPr>
                <w:rFonts w:ascii="Times New Roman" w:cs="Times New Roman" w:eastAsia="Times New Roman" w:hAnsi="Times New Roman"/>
                <w:sz w:val="23"/>
                <w:szCs w:val="23"/>
                <w:color w:val="auto"/>
                <w:vertAlign w:val="superscript"/>
              </w:rPr>
              <w:t>(2)</w:t>
            </w:r>
          </w:p>
        </w:tc>
        <w:tc>
          <w:tcPr>
            <w:tcW w:w="158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​​​12,073,757​​​​ 7.1​​​​</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color w:val="auto"/>
              </w:rPr>
              <w:t>—​​​​12,123,757​​​​ 6.6​​​​</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5480685</wp:posOffset>
            </wp:positionH>
            <wp:positionV relativeFrom="paragraph">
              <wp:posOffset>-2880360</wp:posOffset>
            </wp:positionV>
            <wp:extent cx="53149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5214620</wp:posOffset>
            </wp:positionH>
            <wp:positionV relativeFrom="paragraph">
              <wp:posOffset>-2880360</wp:posOffset>
            </wp:positionV>
            <wp:extent cx="514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-2880360</wp:posOffset>
            </wp:positionV>
            <wp:extent cx="514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-2880360</wp:posOffset>
            </wp:positionV>
            <wp:extent cx="514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3800475</wp:posOffset>
            </wp:positionH>
            <wp:positionV relativeFrom="paragraph">
              <wp:posOffset>-2880360</wp:posOffset>
            </wp:positionV>
            <wp:extent cx="514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-2880360</wp:posOffset>
            </wp:positionV>
            <wp:extent cx="514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-2880360</wp:posOffset>
            </wp:positionV>
            <wp:extent cx="514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-2880360</wp:posOffset>
            </wp:positionV>
            <wp:extent cx="514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-2880360</wp:posOffset>
            </wp:positionV>
            <wp:extent cx="137160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119380</wp:posOffset>
            </wp:positionV>
            <wp:extent cx="123444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Notes:</w:t>
      </w:r>
    </w:p>
    <w:p>
      <w:pPr>
        <w:spacing w:after="0" w:line="77" w:lineRule="exact"/>
        <w:rPr>
          <w:sz w:val="20"/>
          <w:szCs w:val="20"/>
          <w:color w:val="auto"/>
        </w:rPr>
      </w:pPr>
    </w:p>
    <w:p>
      <w:pPr>
        <w:ind w:left="1620" w:hanging="360"/>
        <w:spacing w:after="0"/>
        <w:tabs>
          <w:tab w:leader="none" w:pos="16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total issued and outstanding shares on an as-converted basis.</w:t>
      </w:r>
    </w:p>
    <w:p>
      <w:pPr>
        <w:spacing w:after="0" w:line="77" w:lineRule="exact"/>
        <w:rPr>
          <w:sz w:val="20"/>
          <w:szCs w:val="20"/>
          <w:color w:val="auto"/>
        </w:rPr>
      </w:pPr>
    </w:p>
    <w:p>
      <w:pPr>
        <w:jc w:val="both"/>
        <w:ind w:left="1620" w:right="419" w:hanging="360"/>
        <w:spacing w:after="0" w:line="257" w:lineRule="auto"/>
        <w:tabs>
          <w:tab w:leader="none" w:pos="16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table, percentage ownership is calculated by dividing the number of shares beneficially owned by such person or group by the sum of (i) 168,865,901, being the number of ordinary shares on an as-converted basis issued and outstanding as of the date of this prospectus, (ii) the number of ordinary shares underlying share options held by such person or group that are exercisable within 60 days after the date of this prospectus and (iii) with respect to the ordinary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0" w:lineRule="auto"/>
        <w:rPr>
          <w:sz w:val="20"/>
          <w:szCs w:val="20"/>
          <w:color w:val="auto"/>
        </w:rPr>
      </w:pPr>
      <w:r>
        <w:rPr>
          <w:rFonts w:ascii="Times New Roman" w:cs="Times New Roman" w:eastAsia="Times New Roman" w:hAnsi="Times New Roman"/>
          <w:sz w:val="18"/>
          <w:szCs w:val="18"/>
          <w:color w:val="auto"/>
        </w:rPr>
        <w:t>beneficially owned after the offering, 14,683,991, being the number of Class A ordinary shares represented by 14,683,991 ADSs to be sold by us in this offering, assuming that the underwriters do not exercise their option to purchase additional ADSs. See “The Offering” for more information about how we calculate the number of ordinary shares on an as-converted basis issued and outstanding immediately after the completion of this offering.</w:t>
      </w:r>
    </w:p>
    <w:p>
      <w:pPr>
        <w:spacing w:after="0" w:line="29" w:lineRule="exact"/>
        <w:rPr>
          <w:sz w:val="20"/>
          <w:szCs w:val="20"/>
          <w:color w:val="auto"/>
        </w:rPr>
      </w:pPr>
    </w:p>
    <w:p>
      <w:pPr>
        <w:jc w:val="both"/>
        <w:ind w:left="1620" w:right="419" w:hanging="360"/>
        <w:spacing w:after="0" w:line="255" w:lineRule="auto"/>
        <w:tabs>
          <w:tab w:leader="none" w:pos="1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of voting power is calculated by dividing the voting power beneficially owned by such person or group by the voting power of all of our ordinary shares as a single class. Each holder of Class A ordinary shares is entitled to one vote per share and each holder of our Class B ordinary shares is entitled to ten (10) votes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p>
      <w:pPr>
        <w:spacing w:after="0" w:line="256" w:lineRule="exact"/>
        <w:rPr>
          <w:sz w:val="20"/>
          <w:szCs w:val="20"/>
          <w:color w:val="auto"/>
        </w:rPr>
      </w:pPr>
    </w:p>
    <w:p>
      <w:pPr>
        <w:jc w:val="both"/>
        <w:ind w:left="1620" w:right="419" w:hanging="360"/>
        <w:spacing w:after="0" w:line="266" w:lineRule="auto"/>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otherwise below, the business address of our directors and executive officers is 15/F, IFS Building 2, Hongxing Road, Jinjiang District, Chengdu, Sichuan Province, People’s Republic of China, 610000.</w:t>
      </w:r>
    </w:p>
    <w:p>
      <w:pPr>
        <w:spacing w:after="0" w:line="41" w:lineRule="exact"/>
        <w:rPr>
          <w:sz w:val="20"/>
          <w:szCs w:val="20"/>
          <w:color w:val="auto"/>
        </w:rPr>
      </w:pPr>
    </w:p>
    <w:p>
      <w:pPr>
        <w:jc w:val="both"/>
        <w:ind w:left="1620" w:right="419" w:hanging="360"/>
        <w:spacing w:after="0" w:line="253" w:lineRule="auto"/>
        <w:tabs>
          <w:tab w:leader="none" w:pos="1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65,274,107 Class B ordinary shares held by Partea Ltd., a company organized and existing under the laws of British Virgin Islands. Partea Ltd. is controlled by Inaction Investment Limited, which in turn is wholly owned by Inaction Holding Limited, both of which are companies organized and existing under the laws of British Virgin Islands. Inaction Holding Limited is controlled by Jay Seventeen Trust, a trust established under the laws of Cayman Islands and managed by Trident Trust Company (Cayman) Limited as the trustee. Mr. Junjie Zhang is the settler, protector and</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beneficiary of the trust, retaining the investment power with respect to the assets of the trust,</w:t>
      </w:r>
    </w:p>
    <w:p>
      <w:pPr>
        <w:spacing w:after="0" w:line="9" w:lineRule="exact"/>
        <w:rPr>
          <w:sz w:val="20"/>
          <w:szCs w:val="20"/>
          <w:color w:val="auto"/>
        </w:rPr>
      </w:pPr>
    </w:p>
    <w:p>
      <w:pPr>
        <w:jc w:val="both"/>
        <w:ind w:left="1620" w:right="419"/>
        <w:spacing w:after="0" w:line="251" w:lineRule="auto"/>
        <w:tabs>
          <w:tab w:leader="none" w:pos="195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128,683 Class A ordinary shares underlying the options held by Mr. Junjie Zhang that are exercisable within 60 days after the date of this prospectus, and (iii) 33,469,785 Class A ordinary shares beneficially owned by certain minority shareholders of our company and some of our directors and executive officers, namely Mr. Dengfeng Yin and Mr. Mian Lu. Mr. Junjie Zhang exercises voting power over these 33,469,785 Class A ordinary shares through irrevocable proxy and power of attorney arrangements with such shareholders. Consequently, Mr. Junjie Zhang may be deemed to have beneficial ownership of these Class A ordinary shares. Mr. Junjie Zhang disclaims economic interests associated with these Class A ordinary shares.</w:t>
      </w:r>
    </w:p>
    <w:p>
      <w:pPr>
        <w:spacing w:after="0" w:line="45" w:lineRule="exact"/>
        <w:rPr>
          <w:rFonts w:ascii="Times New Roman" w:cs="Times New Roman" w:eastAsia="Times New Roman" w:hAnsi="Times New Roman"/>
          <w:sz w:val="18"/>
          <w:szCs w:val="18"/>
          <w:color w:val="auto"/>
        </w:rPr>
      </w:pPr>
    </w:p>
    <w:p>
      <w:pPr>
        <w:jc w:val="both"/>
        <w:ind w:left="1620" w:right="419" w:hanging="360"/>
        <w:spacing w:after="0" w:line="253" w:lineRule="auto"/>
        <w:tabs>
          <w:tab w:leader="none" w:pos="16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11,522,236 Class A ordinary shares held by TeaTide Limited, a company organized and existing under the laws of British Virgin Islands controlled by Starry Ocean Wisdom Limited, which in turn is wholly owned by Starry Ocean Development Limited, both of which are companies organized and existing under the laws of British Virgin Islands. Starry Ocean Development Limited is controlled by Starry Ocean Trust, a trust established under the laws of Cayman Islands and managed by Trident Trust Company (Cayman) Limited as the trustee. Mr. Dengfeng Yin is the settler and protector of the trust, and he and his family members are the trust’s beneficiaries. Under the terms of the trust, Mr. Dengfeng Yin retains the investment power with respect to the assets of the trust. TeaTide Limited has entered into certain irrevocable proxy and power of attorney arrangements in favor of Mr. Junjie Zhang, through which Mr. Junjie Zhang exercises voting power over all Class A ordinary shares held by TeaTide Limited, and (ii) 551,521 Class A ordinary shares underlying share options held by Mr. Dengfeng Yin that are exercisable within 60 days after the date of this prospectus.</w:t>
      </w:r>
    </w:p>
    <w:p>
      <w:pPr>
        <w:spacing w:after="0" w:line="41" w:lineRule="exact"/>
        <w:rPr>
          <w:rFonts w:ascii="Times New Roman" w:cs="Times New Roman" w:eastAsia="Times New Roman" w:hAnsi="Times New Roman"/>
          <w:sz w:val="18"/>
          <w:szCs w:val="18"/>
          <w:color w:val="auto"/>
        </w:rPr>
      </w:pPr>
    </w:p>
    <w:p>
      <w:pPr>
        <w:jc w:val="both"/>
        <w:ind w:left="1620" w:right="419" w:hanging="360"/>
        <w:spacing w:after="0" w:line="253" w:lineRule="auto"/>
        <w:tabs>
          <w:tab w:leader="none" w:pos="16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19,647,356 Series A preferred shares and 2,498,258 Series B preferred shares held by XVC Fund II LP, a limited partnership organized and existing under the laws of Cayman Islands, which is ultimately controlled by X Capital Management Ltd., (ii) 52,713 Series A preferred shared and 1,038,692 Series B preferred shares held by XVC SSF II LP, a limited partnership organized and existing under the laws of Cayman Islands, which is ultimately controlled by X Capital Management Ltd., (iii) 4,939,291 Series B+ preferred shares held by Qanttea LP, a limited partnership organized and existing under the laws of British Virgin Islands, which is ultimately controlled by Youth Power Limited, (iv) 4,644,404 Series A preferred shares held by Ningbo Meishan Bonded Port Area Ecksi Solution Investment Partnership (Limited Partnership), a limited partnership organized and existing under the laws of PRC, which is ultimately controlled by Mr. Boyu Hu, and (v) 1,055,546 Series A preferred shares and 389,043 Series B preferred shares held by Putian Aikesi Coordinate Investment Partnership (Limited Partnership), a limited partnership organized and existing under the laws of PRC, which is ultimately controlled by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3" w:lineRule="auto"/>
        <w:rPr>
          <w:sz w:val="20"/>
          <w:szCs w:val="20"/>
          <w:color w:val="auto"/>
        </w:rPr>
      </w:pPr>
      <w:r>
        <w:rPr>
          <w:rFonts w:ascii="Times New Roman" w:cs="Times New Roman" w:eastAsia="Times New Roman" w:hAnsi="Times New Roman"/>
          <w:sz w:val="18"/>
          <w:szCs w:val="18"/>
          <w:color w:val="auto"/>
        </w:rPr>
        <w:t>Mr. Boyu Hu. Mr. Boyu Hu is the director of each of X Capital Management Ltd. and Youth Power Limited, and is deemed to beneficially own the 33,142,849 ordinary shares ultimately controlled by these two entities on a fully diluted and as-converted basis. The registered address of XVC Fund II LP is 4th Floor, Harbour Pl, 103 S Church St, PO BOX 10240, Grand Cayman KY1-1002, Cayman Islands. The registered address of XVC SSF II LP is Ogier Global (Cayman) Limited, 89 Nexus Way, Camana Bay, Grand Cayman KY1-9009, Cayman Islands. The registered address of Qanttea LP is C/O Harneys Corporate Services Limited Craigmuir Chambers, P.O. Box 71, Road Town, Tortola VG-1110, British Virgin Islands. All the preferred shares held by XVC Fund II LP, XVC SSF II LP , Qanttea LP, Ningbo Meishan Bonded Port Area Ecksi Solution Investment Partnership (Limited Partnership) and Putian Aikesi Coordinate Investment Partnership (Limited Partnership) will be converted into Class A ordinary shares on a one-for-one basis immediately prior to the completion of this offering.</w:t>
      </w:r>
    </w:p>
    <w:p>
      <w:pPr>
        <w:spacing w:after="0" w:line="57" w:lineRule="exact"/>
        <w:rPr>
          <w:sz w:val="20"/>
          <w:szCs w:val="20"/>
          <w:color w:val="auto"/>
        </w:rPr>
      </w:pPr>
    </w:p>
    <w:p>
      <w:pPr>
        <w:jc w:val="both"/>
        <w:ind w:left="1620" w:right="419" w:hanging="360"/>
        <w:spacing w:after="0" w:line="257" w:lineRule="auto"/>
        <w:tabs>
          <w:tab w:leader="none" w:pos="16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10,243,145 Series B preferred shares held by Beijing Qiushi Chenxing Consulting Center (Limited Partnership), a limited partnership organized and existing under the laws of PRC whose general partner is Zhuhai Hao Hai Chen Xing Investment Fund Management Co. Ltd., and</w:t>
      </w:r>
    </w:p>
    <w:p>
      <w:pPr>
        <w:spacing w:after="0" w:line="1" w:lineRule="exact"/>
        <w:rPr>
          <w:rFonts w:ascii="Times New Roman" w:cs="Times New Roman" w:eastAsia="Times New Roman" w:hAnsi="Times New Roman"/>
          <w:sz w:val="18"/>
          <w:szCs w:val="18"/>
          <w:color w:val="auto"/>
        </w:rPr>
      </w:pPr>
    </w:p>
    <w:p>
      <w:pPr>
        <w:jc w:val="both"/>
        <w:ind w:left="1620" w:right="419"/>
        <w:spacing w:after="0" w:line="251" w:lineRule="auto"/>
        <w:tabs>
          <w:tab w:leader="none" w:pos="192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7,594,160 Series B+ preferred shares held by Qingdao Qiushi Chenxing Venture Capital Fund II (Limited Partnership), a limited partnership organized and existing under the laws of PRC whose general partner is Shenzhen Congbi Qiushi Investment Management Co. Ltd., Beijing Qiushi Chenxing Consulting Center (Limited Partnership) and Qingdao Qiushi Chenxing Venture Capital Fund II (Limited Partnership) are both ultimately controlled by Mr. Yang Zhou. The registered address of Beijing Qiushi Chenxing Consulting Center (Limited Partnership) is Room 803, 8/F, Building 8, 3-3, No. 6 Langjiayuan, Chaoyang District, Beijing, China. The registered address of Qingdao Qiushi Chenxing Venture Capital Fund II (Limited Partnership) is 401, Building 1, No. 19 Qinling Road, Laoshan District, Qingdao City, Shandong Province, China. All the preferred shares held by Beijing Qiushi Chenxing Consulting Center (Limited Partnership) and Qingdao Qiushi Chenxing Venture Capital Fund II (Limited Partnership) will be converted into Class A ordinary shares on a one-for-one basis immediately prior to the completion of this offering.</w:t>
      </w:r>
    </w:p>
    <w:p>
      <w:pPr>
        <w:spacing w:after="0" w:line="327"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none of our issued and outstanding ordinary shares are held by record holders in the United States. None of our shareholders has informed us that it is affiliated with a member of Financial Industry Regulatory Authority, or FINRA. We are not aware of any arrangement that may, at a subsequent date, result in a change of control of our company. See “Description of Share Capital — History of Securities Issuances” for a description of issuances of our ordinary shares and preferred shares that have resulted in significant changes in ownership held by our major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“Management — Employment Agreements and Indemnification Agreements.”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Private Placements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“Description of Share Capital — History of Securities Issuances.”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“Description of Share Capital — Shareholders Agreement.”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“Management — Equity Incentive Plan.”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held minority interests in some of our franchised teahouses, to which we provided products and services under franchise arrangements, which amounted to RMB3.4 million, RMB2.5 million and RMB18.8 million (US$2.6 million) for the years ended December 31, 2022, 2023 and 2024, respectively. As of December 31, 2024, the balance due from these investees amounted to RMB1.5 million (US$0.2 million).</w:t>
      </w:r>
    </w:p>
    <w:p>
      <w:pPr>
        <w:spacing w:after="0" w:line="99"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2022, we extended a loan of RMB1.0 million to Mr. Junjie Zhang, our founder, chairman of the board, and chief executive officer, which had been fully repaid as of December 31, 2023.</w:t>
      </w:r>
    </w:p>
    <w:p>
      <w:pPr>
        <w:spacing w:after="0" w:line="10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the year ended December 31, 2023, we extended loans of RMB20.0 million, RMB7.0 million and RMB5.0 million to Mr. Junjie Zhang, Mr. Xianggui Peng and Mr. Peibang Gong, respectively. Mr. Junjie Zhang, Mr. Xianggui Peng and Mr. Peibang Gong are the ultimate controllers and beneficial owners of Partea Ltd., TasTea Ltd., and TEALATTE Ltd., which are the shareholders of Chagee Holdings Limited. These loans had been repaid in full as of December 31, 2023.</w:t>
      </w:r>
    </w:p>
    <w:p>
      <w:pPr>
        <w:spacing w:after="0" w:line="116"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the year ended December 31, 2022, we extended a loan of RMB2.0 million to Jiangmen Pengjiang District Yu Sheng Beverage Plant, a company ultimately controlled by a supervisory board member of Beijing Chagee, which had been fully repaid as of December 31, 2022. In the year ended December 31, 2023, we extended another loan of RMB2.0 million to the same company, which had been fully repaid as of December 31, 2023.</w:t>
      </w:r>
    </w:p>
    <w:p>
      <w:pPr>
        <w:spacing w:after="0" w:line="10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2023, an aggregate of 1,046,761 Class A and 1,610,888 Class B ordinary shares beneficially owned by Mr. Junjie Zhang, Mr. Xianggui Peng and Mr. Peibang Gong, who are our employees, were exchanged at a premium for Series B shares. Mr. Junjie Zhang, Mr. Xianggui Peng and Mr. Peibang Gong are the ultimate controllers and beneficial owners of Partea Ltd., TasTea Ltd., and TEALATTE Ltd., which are the shareholders of Chagee Holdings Limited. The difference between the fair value of the newly issued preferred shares and the former ordinary shares was recorded as share-based compensation expenses in 2023, which amounted to RMB7.0 million.</w:t>
      </w:r>
    </w:p>
    <w:p>
      <w:pPr>
        <w:spacing w:after="0" w:line="121"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Restructuring, Beijing Chagee extended bridge loans to certain Series A and Series B preferred shareholders in 2023, namely RMB117.0 million to Qingdao Qiushi Chenxing L.P, RMB50.0 million to Shanghai Fosun High-Tech (Group) Co., Ltd. and its affiliates, and RMB138.0 million to XVC FUND II LP and its affiliates, respectively. Such bridge loans had been fully repaid to the Company before the completion of the Restructuring in December 2023.</w:t>
      </w:r>
    </w:p>
    <w:p>
      <w:pPr>
        <w:spacing w:after="0" w:line="116"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For additional information, see Note 15 to our consolidated financial statements included elsewhere in this prospectus.</w:t>
      </w: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62"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We are a Cayman Islands exempted company and our affairs are governed by our memorandum and articles of association, as amended and restated from time to time, and Companies Act (As Revised) of the Cayman Islands, which we refer to as the “Companies Act” below, and the common law of the Cayman Islands.</w:t>
      </w:r>
    </w:p>
    <w:p>
      <w:pPr>
        <w:spacing w:after="0" w:line="33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share capital is divided into ordinary shares and preferred shares. In respect of all of our ordinary shares and preferred shares we have power insofar as is permitted by law, to redeem or purchase any of our shares and to increase or reduce the share capital subject to the provisions of the Companies Act and the articles of association and to issue any shares, whether such shares be of the original, redeemed or increased capital,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under our memorandum and articles of association.</w:t>
      </w:r>
    </w:p>
    <w:p>
      <w:pPr>
        <w:spacing w:after="0" w:line="111"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of the date hereof, our authorized share capital consists of US$50,000 divided into (i) 364,603,884 Class A ordinary shares of par value US$0.0001 each, (ii) 65,274,107 Class B ordinary shares of par value US$0.0001 each; (iii) 34,833,028 Series A preferred shares of par value US$0.0001 each, (iv) 14,914,404 Series B preferred shares of par value US$0.0001 each, and (v) 20,374,577 Series B+ preferred shares of par value US$0.0001 each. As of the date of this prospectus, our total issued share capital is US$17,456.6. All of our issued and outstanding ordinary shares are fully paid. Immediately prior to the completion of this offering, all of our issued and outstanding preferred shares will be re-designated or converted into Class A ordinary shares on a one-for-one basis.</w:t>
      </w:r>
    </w:p>
    <w:p>
      <w:pPr>
        <w:spacing w:after="0" w:line="12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have adopted a fourth amended and restated memorandum and articles of association, which will become effective and replace the current third amended and restated memorandum and articles of association in its entirety immediately prior to the completion of this offering. Our authorized share capital upon completion of the offering will be US$80,000 divided into ordinary shares of a par value of US$0.0001 each. We will issue 14,683,991 Class A ordinary shares represented by ADSs in this offering (or 16,886,589 Class A ordinary shares represented by ADSs if the underwriters exercise their option to purchase additional ADSs in full). All incentive shares, including options, restricted stock and restricted stock units, regardless of grant dates, will entitle holders to an equivalent number of ordinary shares once the vesting and exercising conditions are met.</w:t>
      </w:r>
    </w:p>
    <w:p>
      <w:pPr>
        <w:spacing w:after="0" w:line="34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are summaries of material provisions of our post-offering amended and restated memorandum and articles of association and the Companies Act insofar as they relate to the material terms of our ordinary shares that we expect will become effective upon the closing of this offering.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44"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Except in relation to voting rights and conversion rights, holders of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have the same rights. All of our issued and outstanding ordinary shares are fully paid and non-assessable. Our ordinary shares are issued in registered form and are issued when registered in our register of members. We may not issue share to bearer. Our shareholders who are non-residents of the Cayman Islands may freely hold and transfer their ordinary shares.</w:t>
      </w:r>
    </w:p>
    <w:p>
      <w:pPr>
        <w:spacing w:after="0" w:line="11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The holders of our ordinary shares are entitled to such dividends as may be declared by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subject to our post-offering amended and restated memorandum and articles of association and the Companies Act. In addition, our shareholders may by ordinary resolution declare a dividend, but no dividend may exceed the amount recommended by our directors. Our post-offering amended and restated articles of association provide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Classes of Ordinary Shares</w:t>
      </w:r>
      <w:r>
        <w:rPr>
          <w:rFonts w:ascii="Times New Roman" w:cs="Times New Roman" w:eastAsia="Times New Roman" w:hAnsi="Times New Roman"/>
          <w:sz w:val="18"/>
          <w:szCs w:val="18"/>
          <w:color w:val="auto"/>
        </w:rPr>
        <w:t>. Our ordinary shares are divided into Class A ordinary shares and Class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ordinary shares. Except for conversion rights and voting rights, the Class A ordinary shares and Class B ordinary shares shall carry equal rights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one another, including but not limited to the rights to dividends and other capital distributions.</w:t>
      </w:r>
    </w:p>
    <w:p>
      <w:pPr>
        <w:spacing w:after="0" w:line="103"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Conversion Rights</w:t>
      </w:r>
      <w:r>
        <w:rPr>
          <w:rFonts w:ascii="Times New Roman" w:cs="Times New Roman" w:eastAsia="Times New Roman" w:hAnsi="Times New Roman"/>
          <w:sz w:val="18"/>
          <w:szCs w:val="18"/>
          <w:color w:val="auto"/>
        </w:rPr>
        <w:t>. Each Class B ordinary share is convertible into one (1) Class A ordinary share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time by the holder thereof. The right to convert shall be exercisable by the holder of the Class B ordinary share delivering a written notice to our company that such holder elects to convert a specified number of Class B ordinary shares into Class A ordinary shares. In no event shall Class A ordinary shares be convertible into Class B ordinary shares.</w:t>
      </w:r>
    </w:p>
    <w:p>
      <w:pPr>
        <w:spacing w:after="0" w:line="110"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addition, as provided in Article 59(d)(ii) of our fourth amended and restated memorandum and articles of association, upon any sale, transfer, assignment or disposition of Class B ordinary shares by a holder thereof to any person which is not an Affiliate (as defined in the fourth amended and restated memorandum and articles of association) of Mr. Junjie Zhang, or upon a change of beneficial ownership of any Class B ordinary shares as a result of which any person who is not an Affiliate of Mr. Junjie Zhang becomes a beneficial owner of such ordinary shares, such Class B ordinary shares shall be automatically and immediately converted into an equal number of Class A ordinary shares. For the avoidance of doubt, (i) a sale, transfer, assignment or disposition shall be effective upon our registration of such sale, transfer, assignment or disposition in the register of members; (ii) the creation of any pledge, charge, encumbrance or other third-party right of whatever description on any Class B ordinary shares to secure any contractual or legal obligations shall not be deemed as a sale, transfer, assignment or disposition for the purpose of this Article unless and until any such pledge, charge, encumbrance or other third-party right is enforced and results in the third party who is not an Affiliate of Mr. Junjie Zhang becoming a beneficial owner of the relevant Class B ordinary shares in which case all the related Class B ordinary shares shall be automatically and immediately converted into the same number of Class A ordinary shares, and (iii) any sale, transfer, assignment or disposition of any Class B ordinary shares by a holder thereof to any person which is an Affiliate of Mr. Junjie Zhang shall not trigger the automatic conversion of such Class B ordinary shares into Class A ordinary shares as contemplated under this Article.</w:t>
      </w:r>
    </w:p>
    <w:p>
      <w:pPr>
        <w:spacing w:after="0" w:line="324"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In respect of all matters subject to a shareholders’ vote, holders of Class A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and Class B ordinary shares shall, at all times, vote together as one class on all matters submitted to a vote by the members at any such general meeting. Each Class A ordinary share shall be entitled to one vote on all matters subject to the vote at general meetings of our company, and each Class B ordinary share shall be entitled to ten (10) votes on all matters subject to the vote at general meetings (including extraordinary general meetings) of our company. Voting at any meeting of shareholders shall be determined by poll and not on a show of hands.</w:t>
      </w:r>
    </w:p>
    <w:p>
      <w:pPr>
        <w:spacing w:after="0" w:line="32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all votes, calculated on a fully converted basis, cast by those shareholders entitled to vote who are present in person or by proxy at a general meeting, while a special resolution requires the affirmative vote of no less than two-thirds of all votes, calculated on a fully converted basis, cast by those shareholders entitled to vote who are present in person or by proxy at a general meeting. Under the Companies Act, a special resolution will be required in order for our company to effect certain important matters as stipulated in the Companies Act, such as a change of name or making changes to our post-offering amended and restated memorandum and articles of association.</w:t>
      </w:r>
    </w:p>
    <w:p>
      <w:pPr>
        <w:spacing w:after="0" w:line="115"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r>
        <w:rPr>
          <w:rFonts w:ascii="Times New Roman" w:cs="Times New Roman" w:eastAsia="Times New Roman" w:hAnsi="Times New Roman"/>
          <w:sz w:val="18"/>
          <w:szCs w:val="18"/>
          <w:color w:val="auto"/>
        </w:rPr>
        <w:t>. A quorum required for a meeting of shareholders consists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holding a majority of all votes attaching to the issued and outstanding shares entitled to vote at general meetings present in person or by proxy or, if a corporation or other non- natural person, by its duly authorized representative. Our post-offering amended and restated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one-third of all votes attaching to the issued and outstanding shares entitled to vote at general meetings, 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which case the directors are obliged to call such meeting and to put the resolutions so requisitioned to a vote at such meeting; however, our post-offering amended and restated memorandum and articles of association do not provide our shareholders with any right to put any proposals before annual general meetings or extraordinary general meetings not called by such shareholders. Advance notice of at least twenty (20) business days is required for the convening of our annual general meeting and other general meetings unless such notice is waived in accordance with our articles of association.</w:t>
      </w:r>
    </w:p>
    <w:p>
      <w:pPr>
        <w:spacing w:after="0" w:line="108"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r>
        <w:rPr>
          <w:rFonts w:ascii="Times New Roman" w:cs="Times New Roman" w:eastAsia="Times New Roman" w:hAnsi="Times New Roman"/>
          <w:sz w:val="18"/>
          <w:szCs w:val="18"/>
          <w:color w:val="auto"/>
        </w:rPr>
        <w:t>. Subject to the restrictions in our post-offering amended and restated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memorandum and articles of association as set out below, any of our shareholders may transfer all or any of his or her ordinary shares by an instrument of transfer in the usual or common form or any other form approved by our board of directors.</w:t>
      </w:r>
    </w:p>
    <w:p>
      <w:pPr>
        <w:spacing w:after="0" w:line="107"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61" w:lineRule="exact"/>
        <w:rPr>
          <w:sz w:val="20"/>
          <w:szCs w:val="20"/>
          <w:color w:val="auto"/>
        </w:rPr>
      </w:pPr>
    </w:p>
    <w:p>
      <w:pPr>
        <w:jc w:val="both"/>
        <w:ind w:left="1800" w:right="419" w:hanging="180"/>
        <w:spacing w:after="0" w:line="266"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free from any lien in favor of our company;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may determine to be payable or such lesser sum as our directors may from time to time require is paid to us in respect thereof.</w:t>
      </w:r>
    </w:p>
    <w:p>
      <w:pPr>
        <w:spacing w:after="0" w:line="9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95"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The registration of transfers may, after compliance with any notice required of the Nasdaq, be suspended and the register closed at such times and for such periods as our board of directors may from time to time determine,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registration of transfers shall not be suspended nor the register closed for more than 30 days in any year as our board may determine.</w:t>
      </w:r>
    </w:p>
    <w:p>
      <w:pPr>
        <w:spacing w:after="0" w:line="106"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Liquidation</w:t>
      </w:r>
      <w:r>
        <w:rPr>
          <w:rFonts w:ascii="Times New Roman" w:cs="Times New Roman" w:eastAsia="Times New Roman" w:hAnsi="Times New Roman"/>
          <w:sz w:val="18"/>
          <w:szCs w:val="18"/>
          <w:color w:val="auto"/>
        </w:rPr>
        <w:t>. On a return of capital on winding up or otherwise (other than on conversion, redemption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purchase of ordinary shares),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 Any distribution of assets or capital to a holder of ordinary share will be the same in any liquidation event.</w:t>
      </w:r>
    </w:p>
    <w:p>
      <w:pPr>
        <w:spacing w:after="0" w:line="121"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Calls on Ordinary Shares and Forfeiture of Ordinary Shares</w:t>
      </w:r>
      <w:r>
        <w:rPr>
          <w:rFonts w:ascii="Times New Roman" w:cs="Times New Roman" w:eastAsia="Times New Roman" w:hAnsi="Times New Roman"/>
          <w:sz w:val="18"/>
          <w:szCs w:val="18"/>
          <w:color w:val="auto"/>
        </w:rPr>
        <w:t>. Our board of directors may from time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make calls upon shareholders for any amounts unpaid on their ordinary shares in a notice served to such shareholders at least 14 clear days prior to the specified time of payment. The ordinary shares that have been called upon and remain unpaid are subject to forfeiture.</w:t>
      </w:r>
    </w:p>
    <w:p>
      <w:pPr>
        <w:spacing w:after="0" w:line="95"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Redemption, Repurchase and Surrender of Ordinary Shares</w:t>
      </w:r>
      <w:r>
        <w:rPr>
          <w:rFonts w:ascii="Times New Roman" w:cs="Times New Roman" w:eastAsia="Times New Roman" w:hAnsi="Times New Roman"/>
          <w:sz w:val="18"/>
          <w:szCs w:val="18"/>
          <w:color w:val="auto"/>
        </w:rPr>
        <w:t>. We may issue shares on terms that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are subject to redemption, at our 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by ordinary resolution of our shareholders, or are otherwise authorized by our post-offering amended and restated memorandum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0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r>
        <w:rPr>
          <w:rFonts w:ascii="Times New Roman" w:cs="Times New Roman" w:eastAsia="Times New Roman" w:hAnsi="Times New Roman"/>
          <w:sz w:val="18"/>
          <w:szCs w:val="18"/>
          <w:color w:val="auto"/>
        </w:rPr>
        <w:t>. If at any time our share capital is divided into different classes or series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shares, the rights attached to any class or series of shares (unless otherwise provided by the terms of issue of the shares of that class or series), whether or not our company is being wound-up, may be varied with the consent in writing of a majority the holders of the issued shares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or subsequent to such existing class of shares, or the redemption or purchase of any shares of any class by our company.</w:t>
      </w:r>
    </w:p>
    <w:p>
      <w:pPr>
        <w:spacing w:after="0" w:line="112"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r>
        <w:rPr>
          <w:rFonts w:ascii="Times New Roman" w:cs="Times New Roman" w:eastAsia="Times New Roman" w:hAnsi="Times New Roman"/>
          <w:sz w:val="18"/>
          <w:szCs w:val="18"/>
          <w:color w:val="auto"/>
        </w:rPr>
        <w:t>. Holders of our ordinary shares have no general right under Cayman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Islands law to inspect or obtain copies of our list of shareholders or our corporate records (other than our memorandum and articles of association, special resolutions, and our register of mortgages and charges). However, we will provide our shareholders with annual audited financial statements. See “Where You Can Find Additional Information.”</w:t>
      </w:r>
    </w:p>
    <w:p>
      <w:pPr>
        <w:spacing w:after="0" w:line="106"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Issuance of Additional Shares</w:t>
      </w:r>
      <w:r>
        <w:rPr>
          <w:rFonts w:ascii="Times New Roman" w:cs="Times New Roman" w:eastAsia="Times New Roman" w:hAnsi="Times New Roman"/>
          <w:sz w:val="18"/>
          <w:szCs w:val="18"/>
          <w:color w:val="auto"/>
        </w:rPr>
        <w:t>. Our post-offering amended and restated memorandum of association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authorizes our board of directors to issue additional ordinary shares from time to time as our board of directors shall determine, to the extent of available authorized but unissued shares.</w:t>
      </w:r>
    </w:p>
    <w:p>
      <w:pPr>
        <w:spacing w:after="0" w:line="10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post-offering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61" w:lineRule="exact"/>
        <w:rPr>
          <w:sz w:val="20"/>
          <w:szCs w:val="20"/>
          <w:color w:val="auto"/>
        </w:rPr>
      </w:pPr>
    </w:p>
    <w:p>
      <w:pPr>
        <w:ind w:left="1800" w:hanging="180"/>
        <w:spacing w:after="0"/>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14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77"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w:t>
      </w:r>
      <w:r>
        <w:rPr>
          <w:rFonts w:ascii="Times New Roman" w:cs="Times New Roman" w:eastAsia="Times New Roman" w:hAnsi="Times New Roman"/>
          <w:sz w:val="18"/>
          <w:szCs w:val="18"/>
          <w:color w:val="auto"/>
        </w:rPr>
        <w:t>. Some provisions of our post-offering amended and restated memorandum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articles of association may discourage, delay or prevent a change of control of our company or management that shareholders may consider favorable, including provisions that:</w:t>
      </w:r>
    </w:p>
    <w:p>
      <w:pPr>
        <w:spacing w:after="0" w:line="68" w:lineRule="exact"/>
        <w:rPr>
          <w:sz w:val="20"/>
          <w:szCs w:val="20"/>
          <w:color w:val="auto"/>
        </w:rPr>
      </w:pPr>
    </w:p>
    <w:p>
      <w:pPr>
        <w:jc w:val="both"/>
        <w:ind w:left="1800" w:right="419" w:hanging="180"/>
        <w:spacing w:after="0" w:line="266"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15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post-offering amended and restated memorandum and articles of association for a proper purpose and for what they believe in good faith to be in the best interests of our company.</w:t>
      </w:r>
    </w:p>
    <w:p>
      <w:pPr>
        <w:spacing w:after="0" w:line="98" w:lineRule="exact"/>
        <w:rPr>
          <w:sz w:val="20"/>
          <w:szCs w:val="20"/>
          <w:color w:val="auto"/>
        </w:rPr>
      </w:pPr>
    </w:p>
    <w:p>
      <w:pPr>
        <w:ind w:left="1620"/>
        <w:spacing w:after="0"/>
        <w:tabs>
          <w:tab w:leader="none" w:pos="3220" w:val="left"/>
        </w:tabs>
        <w:rPr>
          <w:sz w:val="20"/>
          <w:szCs w:val="20"/>
          <w:color w:val="auto"/>
        </w:rPr>
      </w:pPr>
      <w:r>
        <w:rPr>
          <w:rFonts w:ascii="Times New Roman" w:cs="Times New Roman" w:eastAsia="Times New Roman" w:hAnsi="Times New Roman"/>
          <w:sz w:val="18"/>
          <w:szCs w:val="18"/>
          <w:b w:val="1"/>
          <w:bCs w:val="1"/>
          <w:i w:val="1"/>
          <w:iCs w:val="1"/>
          <w:color w:val="auto"/>
        </w:rPr>
        <w:t>Exempted Company</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We are an exempted company with limited liability under the Companies Act.</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Companies Act distinguishes between ordinary resident companies and exempted companies. Any company that is registered in the Cayman Islands but conducts business mainly outside the Cayman Islands</w:t>
      </w: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may apply to be registered as an exempted company. The requirements for an exempted company are essentially the same as for an ordinary company except that an exempted company:</w:t>
      </w:r>
    </w:p>
    <w:p>
      <w:pPr>
        <w:spacing w:after="0" w:line="40" w:lineRule="exact"/>
        <w:rPr>
          <w:sz w:val="20"/>
          <w:szCs w:val="20"/>
          <w:color w:val="auto"/>
        </w:rPr>
      </w:pPr>
    </w:p>
    <w:p>
      <w:pPr>
        <w:ind w:left="1800" w:hanging="180"/>
        <w:spacing w:after="0"/>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40"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15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06" w:lineRule="exact"/>
        <w:rPr>
          <w:sz w:val="20"/>
          <w:szCs w:val="20"/>
          <w:color w:val="auto"/>
        </w:rPr>
      </w:pPr>
    </w:p>
    <w:p>
      <w:pPr>
        <w:jc w:val="both"/>
        <w:ind w:left="1260" w:right="41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Exclusive Forum</w:t>
      </w:r>
      <w:r>
        <w:rPr>
          <w:rFonts w:ascii="Times New Roman" w:cs="Times New Roman" w:eastAsia="Times New Roman" w:hAnsi="Times New Roman"/>
          <w:sz w:val="18"/>
          <w:szCs w:val="18"/>
          <w:color w:val="auto"/>
        </w:rPr>
        <w:t>. Without limiting the jurisdiction of the Cayman courts to hear, settle and/or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 disputes related to our company, the courts of the Cayman Islands and Hong Kong shall be the sole and exclusive forum for (i) any derivative action or proceeding brought on behalf of our company,</w:t>
      </w:r>
    </w:p>
    <w:p>
      <w:pPr>
        <w:spacing w:after="0" w:line="2" w:lineRule="exact"/>
        <w:rPr>
          <w:sz w:val="20"/>
          <w:szCs w:val="20"/>
          <w:color w:val="auto"/>
        </w:rPr>
      </w:pPr>
    </w:p>
    <w:p>
      <w:pPr>
        <w:jc w:val="both"/>
        <w:ind w:left="1260" w:right="419"/>
        <w:spacing w:after="0" w:line="241" w:lineRule="auto"/>
        <w:tabs>
          <w:tab w:leader="none" w:pos="158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director, officer, or other employee of our company to our company or the members, (iii) any action asserting a claim arising pursuant to any provision of the Companies Act or our articles of association including but not limited to any purchase or acquisition of shares, security, or guarantee provided in consideration thereof, or (iv) any action asserting a claim against our company which if brought in the United States of America would be a claim arising under the internal affairs doctrine (as such concept is recognized under the laws of the United States from time to time).</w:t>
      </w:r>
    </w:p>
    <w:p>
      <w:pPr>
        <w:spacing w:after="0" w:line="32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Unless we consent in writing to the selection of an alternative forum, any state or federal court in the State of New York shall have exclusive jurisdiction within the United States for the resolution of any complaint asserting a cause of action arising out of or relating in any way to the federal securities laws of the United States, including those arising from the Securities Act and the Exchange Act, regardless of whether such legal suit, action, or proceeding also involves parties other than our company. Any person or entity purchasing or otherwise acquiring any share or other securities in our company shall be deemed to have notice of and consented to the provisions of our articles of association.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the Companies Act, we must keep a register of members and there should be entered therein:</w:t>
      </w:r>
    </w:p>
    <w:p>
      <w:pPr>
        <w:spacing w:after="0" w:line="117" w:lineRule="exact"/>
        <w:rPr>
          <w:sz w:val="20"/>
          <w:szCs w:val="20"/>
          <w:color w:val="auto"/>
        </w:rPr>
      </w:pPr>
    </w:p>
    <w:p>
      <w:pPr>
        <w:jc w:val="both"/>
        <w:ind w:left="1800" w:right="419" w:hanging="180"/>
        <w:spacing w:after="0" w:line="256"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our members, and a statement of the shares held by each member distinguishing each share by its number (so long as the share has a number), confirming the amount paid or agreed to be considered as paid on the shares of each member, confirming the number and category of shares held by each member, and confirming whether each relevant category of shares held by a member carries voting rights under the articles of association of our company, and if so, whether such voting rights are conditional);</w:t>
      </w:r>
    </w:p>
    <w:p>
      <w:pPr>
        <w:spacing w:after="0" w:line="6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15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Under the Companies Act, the register of members of our company is prima facie evidence of the matters set out therein (that is, the register of members will raise a presumption of fact on the matters referred to above unless rebutted) and a member registered in the register of members is deemed as a matter of the Companies Act to have legal title to the shares as set against its name in the register of members. Upon completion of this offering, we will perform the procedure necessary to immediately update the register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members to record and give effect to the issuance of shares by us to the Depositary (or its nominee) as the depositary. Once our register of members has been updated, the shareholders recorded in the register of members will be deemed to have legal title to the shares set against their name.</w:t>
      </w:r>
    </w:p>
    <w:p>
      <w:pPr>
        <w:spacing w:after="0" w:line="10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many recent English law statutory enactments.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State of Delaware.</w:t>
      </w:r>
    </w:p>
    <w:p>
      <w:pPr>
        <w:spacing w:after="0" w:line="110"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r>
        <w:rPr>
          <w:rFonts w:ascii="Times New Roman" w:cs="Times New Roman" w:eastAsia="Times New Roman" w:hAnsi="Times New Roman"/>
          <w:sz w:val="18"/>
          <w:szCs w:val="18"/>
          <w:color w:val="auto"/>
        </w:rPr>
        <w:t>. The Companies Act permits mergers and consolidations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21"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 merger between a Cayman Islands parent company and its Cayman Islands subsidiary or subsidiaries does not require authorization by a resolution of shareholders of that Cayman Islands subsidiary if a copy of the plan of merger is given to every member of that Cayman Islands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0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94"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Islands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21"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arrangement is approved by (a) 75% in value of shareholders; or</w:t>
      </w:r>
    </w:p>
    <w:p>
      <w:pPr>
        <w:spacing w:after="0" w:line="1" w:lineRule="exact"/>
        <w:rPr>
          <w:sz w:val="20"/>
          <w:szCs w:val="20"/>
          <w:color w:val="auto"/>
        </w:rPr>
      </w:pPr>
    </w:p>
    <w:p>
      <w:pPr>
        <w:jc w:val="both"/>
        <w:ind w:left="1260" w:right="419"/>
        <w:spacing w:after="0" w:line="260" w:lineRule="auto"/>
        <w:tabs>
          <w:tab w:leader="none" w:pos="153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representing 75% in value of creditors with whom the arrangement is to be made, as the case may be, that are present and voting either in person or by proxy at a meeting, or meetings, convened for that</w:t>
      </w: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282" w:lineRule="exact"/>
        <w:rPr>
          <w:sz w:val="20"/>
          <w:szCs w:val="20"/>
          <w:color w:val="auto"/>
        </w:rPr>
      </w:pPr>
    </w:p>
    <w:p>
      <w:pPr>
        <w:ind w:left="1800" w:hanging="180"/>
        <w:spacing w:after="0"/>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25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94"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a dissenting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14"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1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8"/>
          <w:szCs w:val="18"/>
          <w:i w:val="1"/>
          <w:iCs w:val="1"/>
          <w:color w:val="auto"/>
        </w:rPr>
        <w:t>Foss v. Harbottle</w:t>
      </w:r>
      <w:r>
        <w:rPr>
          <w:rFonts w:ascii="Times New Roman" w:cs="Times New Roman" w:eastAsia="Times New Roman" w:hAnsi="Times New Roman"/>
          <w:sz w:val="18"/>
          <w:szCs w:val="18"/>
          <w:color w:val="auto"/>
        </w:rPr>
        <w:t xml:space="preserve"> and the exceptions thereto) which permit a minority shareholder to commence a class action against or derivative actions in the name of the company to challenge actions where:</w:t>
      </w:r>
    </w:p>
    <w:p>
      <w:pPr>
        <w:spacing w:after="0" w:line="284" w:lineRule="exact"/>
        <w:rPr>
          <w:sz w:val="20"/>
          <w:szCs w:val="20"/>
          <w:color w:val="auto"/>
        </w:rPr>
      </w:pPr>
    </w:p>
    <w:p>
      <w:pPr>
        <w:ind w:left="1800" w:hanging="180"/>
        <w:spacing w:after="0"/>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9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140" w:lineRule="exact"/>
        <w:rPr>
          <w:sz w:val="20"/>
          <w:szCs w:val="20"/>
          <w:color w:val="auto"/>
        </w:rPr>
      </w:pPr>
    </w:p>
    <w:p>
      <w:pPr>
        <w:ind w:left="1620"/>
        <w:spacing w:after="0"/>
        <w:tabs>
          <w:tab w:leader="none" w:pos="7500" w:val="left"/>
        </w:tabs>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Cayman Islands law does</w:t>
      </w:r>
    </w:p>
    <w:p>
      <w:pPr>
        <w:spacing w:after="0" w:line="31"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amended and restated memorandum and articles of association provide that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26"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0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r>
        <w:rPr>
          <w:rFonts w:ascii="Times New Roman" w:cs="Times New Roman" w:eastAsia="Times New Roman" w:hAnsi="Times New Roman"/>
          <w:sz w:val="18"/>
          <w:szCs w:val="18"/>
          <w:color w:val="auto"/>
        </w:rPr>
        <w:t>. Under Delaware corporate law, a director of a Delaware corporation has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33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325"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r>
        <w:rPr>
          <w:rFonts w:ascii="Times New Roman" w:cs="Times New Roman" w:eastAsia="Times New Roman" w:hAnsi="Times New Roman"/>
          <w:sz w:val="18"/>
          <w:szCs w:val="18"/>
          <w:color w:val="auto"/>
        </w:rPr>
        <w:t>. Under the Delaware General Corporation Law, a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eliminate the right of shareholders to act by written consent by amendment to its certificate of incorporation. The Companies Act and our post-offering amended and restated articles of association provide that our shareholders may approve corporate matters by way of a unanimous written resolution signed by or on behalf of each shareholder who would have been entitled to vote on such matter at a general meeting without a meeting being held, and any such resolution in writing shall be as valid and effective as if the same had been passed at a general meeting of our company duly convened and held.</w:t>
      </w:r>
    </w:p>
    <w:p>
      <w:pPr>
        <w:spacing w:after="0" w:line="115"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Shareholder Proposals</w:t>
      </w:r>
      <w:r>
        <w:rPr>
          <w:rFonts w:ascii="Times New Roman" w:cs="Times New Roman" w:eastAsia="Times New Roman" w:hAnsi="Times New Roman"/>
          <w:sz w:val="18"/>
          <w:szCs w:val="18"/>
          <w:color w:val="auto"/>
        </w:rPr>
        <w:t>. Under the Delaware General Corporation Law, a shareholder has the right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336"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Companies Act provide shareholders with only limited rights to requisition a general meeting, and does not provide shareholders with any right to put any proposal before a general meeting. However, these rights may be provided in a company’s articles of association. Our post-offering amended and restated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post-offering amended and restated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Cumulative Voting</w:t>
      </w:r>
      <w:r>
        <w:rPr>
          <w:rFonts w:ascii="Times New Roman" w:cs="Times New Roman" w:eastAsia="Times New Roman" w:hAnsi="Times New Roman"/>
          <w:sz w:val="18"/>
          <w:szCs w:val="18"/>
          <w:color w:val="auto"/>
        </w:rPr>
        <w:t>. Under the Delaware General Corporation Law, cumulative voting for elections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321"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Removal of Directors</w:t>
      </w:r>
      <w:r>
        <w:rPr>
          <w:rFonts w:ascii="Times New Roman" w:cs="Times New Roman" w:eastAsia="Times New Roman" w:hAnsi="Times New Roman"/>
          <w:sz w:val="18"/>
          <w:szCs w:val="18"/>
          <w:color w:val="auto"/>
        </w:rPr>
        <w:t>. Under the Delaware General Corporation Law, a director of a corporation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classified board may be removed only for cause with the approval of a majority of the outstanding shares entitled to vote, unless the certificate of incorporation provides otherwise. Under our post-offering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w:t>
      </w:r>
    </w:p>
    <w:p>
      <w:pPr>
        <w:spacing w:after="0" w:line="2" w:lineRule="exact"/>
        <w:rPr>
          <w:sz w:val="20"/>
          <w:szCs w:val="20"/>
          <w:color w:val="auto"/>
        </w:rPr>
      </w:pPr>
    </w:p>
    <w:p>
      <w:pPr>
        <w:ind w:left="1260" w:right="419"/>
        <w:spacing w:after="0" w:line="258" w:lineRule="auto"/>
        <w:tabs>
          <w:tab w:leader="none" w:pos="157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prohibited by law from being a director; or (vi) is removed from office pursuant to any other provisions of our post-offering amended and restated memorandum and articles of association.</w:t>
      </w:r>
    </w:p>
    <w:p>
      <w:pPr>
        <w:spacing w:after="0" w:line="9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r>
        <w:rPr>
          <w:rFonts w:ascii="Times New Roman" w:cs="Times New Roman" w:eastAsia="Times New Roman" w:hAnsi="Times New Roman"/>
          <w:sz w:val="18"/>
          <w:szCs w:val="18"/>
          <w:color w:val="auto"/>
        </w:rPr>
        <w:t>. The Delaware General Corporation Law contains a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1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our company, and are entered into for a proper corporate purpose and not with the effect of constituting a fraud on the minority shareholders.</w:t>
      </w:r>
    </w:p>
    <w:p>
      <w:pPr>
        <w:spacing w:after="0" w:line="110" w:lineRule="exact"/>
        <w:rPr>
          <w:sz w:val="20"/>
          <w:szCs w:val="20"/>
          <w:color w:val="auto"/>
        </w:rPr>
      </w:pPr>
    </w:p>
    <w:p>
      <w:pPr>
        <w:jc w:val="both"/>
        <w:ind w:left="1260" w:right="41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Dissolution; Winding up</w:t>
      </w:r>
      <w:r>
        <w:rPr>
          <w:rFonts w:ascii="Times New Roman" w:cs="Times New Roman" w:eastAsia="Times New Roman" w:hAnsi="Times New Roman"/>
          <w:sz w:val="18"/>
          <w:szCs w:val="18"/>
          <w:color w:val="auto"/>
        </w:rPr>
        <w:t>. Under the Delaware General Corporation Law, unless the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11"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318"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r>
        <w:rPr>
          <w:rFonts w:ascii="Times New Roman" w:cs="Times New Roman" w:eastAsia="Times New Roman" w:hAnsi="Times New Roman"/>
          <w:sz w:val="18"/>
          <w:szCs w:val="18"/>
          <w:color w:val="auto"/>
        </w:rPr>
        <w:t>. Under the Delaware General Corporation Law, a corporation may vary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rights of a class of shares with the approval of a majority of the outstanding shares of such class, unless</w:t>
      </w:r>
    </w:p>
    <w:p>
      <w:pPr>
        <w:sectPr>
          <w:pgSz w:w="11900" w:h="16838" w:orient="portrait"/>
          <w:cols w:equalWidth="0" w:num="1">
            <w:col w:w="9879"/>
          </w:cols>
          <w:pgMar w:left="580" w:top="97" w:right="1440" w:bottom="1440" w:gutter="0" w:footer="0" w:header="0"/>
        </w:sectPr>
      </w:pPr>
    </w:p>
    <w:p>
      <w:pPr>
        <w:spacing w:after="0" w:line="3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06"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r>
        <w:rPr>
          <w:rFonts w:ascii="Times New Roman" w:cs="Times New Roman" w:eastAsia="Times New Roman" w:hAnsi="Times New Roman"/>
          <w:sz w:val="18"/>
          <w:szCs w:val="18"/>
          <w:color w:val="auto"/>
        </w:rPr>
        <w:t>. Under the Delaware General Corporation Law, a corporation’s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documents may be amended with the approval of a majority of the outstanding shares entitled to vote, unless the certificate of incorporation provides otherwise. Under the Companies Act and our post-offering amended and restated memorandum and articles of association, our memorandum and articles of association may only be amended by a special resolution of our shareholders.</w:t>
      </w:r>
    </w:p>
    <w:p>
      <w:pPr>
        <w:spacing w:after="0" w:line="109"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r>
        <w:rPr>
          <w:rFonts w:ascii="Times New Roman" w:cs="Times New Roman" w:eastAsia="Times New Roman" w:hAnsi="Times New Roman"/>
          <w:sz w:val="18"/>
          <w:szCs w:val="18"/>
          <w:color w:val="auto"/>
        </w:rPr>
        <w:t>. There are no limitations imposed by our post-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and restated memorandum and 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History of Securities Issuances and Repurchases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our securities issuances in the past three years.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On May 12, 2023, as part of our Restructuring, we issued a total of 107,101,149 ordinary shares to the affiliates of certain then shareholders of Beijing Chagee, as described below, who in exchange surrendered the existing equity interests held by them in Beijing Chagee to Chagee Investment:</w:t>
      </w:r>
    </w:p>
    <w:p>
      <w:pPr>
        <w:spacing w:after="0" w:line="61" w:lineRule="exact"/>
        <w:rPr>
          <w:sz w:val="20"/>
          <w:szCs w:val="20"/>
          <w:color w:val="auto"/>
        </w:rPr>
      </w:pPr>
    </w:p>
    <w:p>
      <w:pPr>
        <w:ind w:left="1800" w:right="41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one ordinary share to Sertus Nominees (Cayman) Limited, which was transferred to Partea Ltd. on the same date;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69,614,624 ordinary shares to Partea Ltd., of which the ultimate controller and beneficial owner is Junjie Zhang, our chairman of the board and chief executive officer;</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3,037,384 ordinary shares to TasTea Ltd., of which the ultimate controller and beneficial owner is Xianggui Peng, an employee of our company;</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2,842,196 ordinary shares to TEALATTE Ltd., of which the ultimate controller and beneficial owner is Peibang Gong, an employee of our company;</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8,692,656 ordinary shares to TeaBrew Limited, of which the ultimate controller and beneficial owner is Dengfeng Yin, director and chief operating officer of our company;</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4,701,364 ordinary shares to TeaZen Limited, of which the ultimate controller and beneficial owner is Xiangmin Shang, an employee of our company;</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999,981 ordinary shares to SipSoul Limited, of which the ultimate controller and beneficial owner is Xi Fu, an employee of our company;</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999,981 ordinary shares to TeaBloom Limited, of which the ultimate controller and beneficial owner is Wei Jen Hu, vice president of our company;</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999,981 ordinary shares to TeaNexus Limited, of which the ultimate controller and beneficial owner is Mian Lu, director and vice president of our company;</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699,950 ordinary shares to TeaLuxe Limited, of which the ultimate controller and beneficial owner is Qifeng Quan, an employee of our company;</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3,544,486 ordinary shares to Brewtopia Limited, of which the ultimate controller and beneficial owner is Zhentang Ouyang;</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999,981 ordinary shares to Tea Thyme Limited, of which the ultimate controller and beneficial owner is Yi Wang;</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1,488,500 ordinary shares to TeaFusion Limited, of which the ultimate controller and beneficial owner is Yuexian Xiao;</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1,796,500 ordinary shares to SereniTea House Limited, of which the ultimate controller and beneficial owner is Jisheng Lu;</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94,553 ordinary shares to Tea Haven Limited, of which the ultimate controller and beneficial owner is Zhiming Wang;</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692,377 ordinary shares to The Tea Emporium Limited, of which the ultimate controller and beneficial owner is Wentao Li;</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1,272,960 ordinary shares to Brew Tea-ful Limited, of which the ultimate controller and beneficial owner is Xiaoshan Li;</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1,558,669 ordinary shares to TeaSoul Limited, of which the ultimate controller and beneficial owner is Junwei Li;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3,065,005 ordinary shares to Tea Tropolis Limited, of which the ultimate controller and beneficial owner is Yuangui Lin.</w:t>
      </w:r>
    </w:p>
    <w:p>
      <w:pPr>
        <w:spacing w:after="0" w:line="94"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On July 5, 2023, the ordinary shares held by Partea Ltd. were re-designated and reclassified as Class B ordinary shares, and the ordinary shares held by TasTea Ltd., TEALATTE Ltd., TeaBrew Limited, TeaZen Limited, SipSoul Limited, TeaBloom Limited, TeaNexus Limited, TeaLuxe Limited, Brewtopia Limited, Tea Thyme Limited, TeaFusion Limited, SereniTea House Limited, Tea Haven Limited, The Tea Emporium Limited, Brew Tea-ful Limited, TeaSoul Limited and Tea Tropolis Limited were re-designated and reclassified as Class A ordinary shares.</w:t>
      </w:r>
    </w:p>
    <w:p>
      <w:pPr>
        <w:spacing w:after="0" w:line="106"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On December 25, 2023, we repurchased and redeemed an aggregate of 2,729,630 Class B ordinary shares from Partea Ltd. and subsequently issued an aggregate of 2,729,630 Class A ordinary shares to TeaTide Limited on the same date.</w:t>
      </w:r>
    </w:p>
    <w:p>
      <w:pPr>
        <w:spacing w:after="0" w:line="10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On April 30, 2024, we repurchased an aggregate of 5,699,608 Class A ordinary shares from Brewtopia Limited, Brew Tea-ful Limited, TeaSoul Limited and Tea Tropolis Limited.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Series A Preferred Shares</w:t>
      </w:r>
    </w:p>
    <w:p>
      <w:pPr>
        <w:spacing w:after="0" w:line="16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On July 5, 2023, we issued 18,577,615 Series A preferred shares to XVC FUND II LP as part of the Restructuring in exchange of cancellation and forfeiture of the existing equity interests held by XVC FUND II LP in Beijing Chagee before the Restructuring.</w:t>
      </w:r>
    </w:p>
    <w:p>
      <w:pPr>
        <w:spacing w:after="0" w:line="95"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On December 25, 2023, we issued 4,644,404 Series A preferred shares to Ningbo Meishan Bonded Port Area Ecksi Solution Investment Partnership (Limited Partnership) pursuant to an agreement with us in connection with the Restructuring, which allows it to exchange the equity interest it or its affiliate(s) previously held in Beijing Chagee into preferred shares of our company upon completion of certain regulatory procedures in China.</w:t>
      </w:r>
    </w:p>
    <w:p>
      <w:pPr>
        <w:spacing w:after="0" w:line="116"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On December 25, 2023, we issued 10,027,750 Series A preferred shares to Wuxi Forba Tea Enterprise Management Partnership (Limited Partnership) pursuant to an agreement with us in connection with the Restructuring, which allows it to exchange the equity interest it or its affiliate(s) previously held in Beijing Chagee into preferred shares of our company upon completion of certain regulatory procedures in China.</w:t>
      </w:r>
    </w:p>
    <w:p>
      <w:pPr>
        <w:spacing w:after="0" w:line="11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On December 25, 2023, we issued 527,713 Series A preferred shares to Gongqingcheng Bagee Tea Investment Partnership (Limited Partnership) pursuant to an agreement with us in connection with the Restructuring, which allows it to exchange the equity interest it or its affiliate(s) previously held in Beijing Chagee into preferred shares of our company upon completion of certain regulatory procedures in China.</w:t>
      </w:r>
    </w:p>
    <w:p>
      <w:pPr>
        <w:spacing w:after="0" w:line="9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On December 25, 2023, we issued 1,055,546 Series A preferred shares to Putian Aikesi Coordinate Investment Partnership (Limited Partnership) pursuant to an agreement with us in connection with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5" w:name="page176"/>
    <w:bookmarkEnd w:id="1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Restructuring, which allows it to exchange the equity interest it or its affiliate(s) previously held in Beijing Chagee into preferred shares of our company upon completion of certain regulatory procedures in China.</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Series B Preferred Shares</w:t>
      </w:r>
    </w:p>
    <w:p>
      <w:pPr>
        <w:spacing w:after="0" w:line="16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On July 5, 2023, we issued 963,031 Series B preferred shares to XVC FUND II LP as part of the Restructuring in exchange of cancellation and forfeiture of the existing equity interests held by XVC FUND II LP in Beijing Chagee before the Restructuring.</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On July 5, 2023, we issued 963,031 Series B preferred shares to XVC SSF II LP as part of the Restructuring in exchange of cancellation and forfeiture of the existing equity interests held by XVC SSF II LP in Beijing Chagee before the Restructuring.</w:t>
      </w:r>
    </w:p>
    <w:p>
      <w:pPr>
        <w:spacing w:after="0" w:line="95"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On July 5, 2023, 1,535,227 ordinary shares were transferred by Partea Ltd. to XVC FUND II LP for a consideration of the US$ equivalent of RMB19.1 million, 75,661 ordinary shares were transferred by Partea Ltd. to XVC SSF II LP for a consideration of the US$ equivalent of RMB0.9 million, an aggregate of 745,266 ordinary shares were transferred by TasTea Ltd. and TEALATTE Ltd. to Rothsfortune Fund, LP for a consideration of the US$ equivalent of RMB9.3 million pursuant to a share purchase agreement dated July 5, 2023. Such ordinary shares were re-designated and reclassified as Series B preferred shares on July 5, 2023.</w:t>
      </w:r>
    </w:p>
    <w:p>
      <w:pPr>
        <w:spacing w:after="0" w:line="336"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On December 5, 2023, 301,495 Class A ordinary shares were transferred by TEALATTE Ltd. to Putian Aikesi Coordinate Investment Partnership (Limited Partnership) for a consideration of the US$ equivalent of RMB3.7 million pursuant to a share purchase agreement dated July 5, 2023. Such Class A ordinary shares were re-designated and reclassified as Series B preferred shares on December 5, 2023.</w:t>
      </w:r>
    </w:p>
    <w:p>
      <w:pPr>
        <w:spacing w:after="0" w:line="11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On December 25, 2023, we issued 10,243,145 Series B preferred shares to Beijing Qiushi Chenxing Consulting Center (Limited Partnership) pursuant to an agreement with us in connection with the Restructuring, which allows it to exchange the equity interest it or its affiliate(s) previously held in Beijing Chagee into preferred shares of our company upon completion of certain regulatory procedures in China.</w:t>
      </w:r>
    </w:p>
    <w:p>
      <w:pPr>
        <w:spacing w:after="0" w:line="99"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On December 25, 2023, we issued 87,548 Series B preferred shares to Putian Aikesi Coordinate Investment Partnership (Limited Partnership) pursuant to an agreement with us in connection with the Restructuring, which allows it to exchange the equity interest it or its affiliate(s) previously held in Beijing Chagee into preferred shares of our company upon completion of certain regulatory procedures in China.</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Series B+ Preferred Shares</w:t>
      </w:r>
    </w:p>
    <w:p>
      <w:pPr>
        <w:spacing w:after="0" w:line="160"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On July 20, 2023, we issued 1,667,011 Series B+ preferred shares to Rothsfortune Fund, LP for a consideration of the US$ equivalent of RMB27 million.</w:t>
      </w:r>
    </w:p>
    <w:p>
      <w:pPr>
        <w:spacing w:after="0" w:line="9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On July 20, 2023, we issued 4,939,291 Series B+ preferred shares to Qanttea LP for a consideration of the US$ equivalent of RMB80 million.</w:t>
      </w:r>
    </w:p>
    <w:p>
      <w:pPr>
        <w:spacing w:after="0" w:line="81"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On July 20, 2023, we issued 6,174,115 Series B+ preferred shares to Coatue PE Asia 92 LLC for a consideration of the US$ equivalent of RMB100 million.</w:t>
      </w:r>
    </w:p>
    <w:p>
      <w:pPr>
        <w:spacing w:after="0" w:line="94"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On December 5, 2023, we issued 7,594,160 Series B+ preferred shares to Qingdao Qiushi Chenxing Venture Capital Fund II (Limited Partnership) for a consideration of the US$ equivalent of RMB123 million.</w:t>
      </w:r>
    </w:p>
    <w:p>
      <w:pPr>
        <w:spacing w:after="0" w:line="32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Our Series A preferred shares, Series B preferred shares and Series B+ preferred shares will automatically convert into our ordinary shares upon the completion of this offering at an initial conversion ratio of one-to-one, adjusted for share subdivisions, share dividends, consolidations, recapitalizations and similar events with respect to such series of preferred shares.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Option Grants</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have granted options to purchase our Class A ordinary shares to certain of our executive officers and employees. See “Management — Equity Incentive Plan.”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6" w:name="page177"/>
    <w:bookmarkEnd w:id="1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currently effective shareholders agreement was entered into on July 20, 2023 by and among us, our shareholders, and certain other parties named therein.</w:t>
      </w:r>
    </w:p>
    <w:p>
      <w:pPr>
        <w:spacing w:after="0" w:line="95"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current shareholders agreement provides for certain special rights, including registration right, preemptive right, right of first refusal, right of co-sale, drag-along right, redemption right, liquidation right and contains provisions governing the board of directors and other corporate governance matters. Those special rights (except the registration right as described below), as well as the corporate governance provisions, will terminate upon the completion of this offering.</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Pursuant to the current shareholders agreement, we have granted certain registration rights to our shareholders. Set forth below is a description of the registration rights granted under the current shareholders agreement.</w:t>
      </w:r>
    </w:p>
    <w:p>
      <w:pPr>
        <w:spacing w:after="0" w:line="105"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r>
        <w:rPr>
          <w:rFonts w:ascii="Times New Roman" w:cs="Times New Roman" w:eastAsia="Times New Roman" w:hAnsi="Times New Roman"/>
          <w:sz w:val="18"/>
          <w:szCs w:val="18"/>
          <w:color w:val="auto"/>
        </w:rPr>
        <w:t>. At any time or from time to time after the earlier of (i) December 28, 2027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(ii) the date that is six (6) months after the consummation of an initial public offering, any holder of fifteen percent (15%) of the registrable securities or holders of fifteen percent (15%) of the registrable securities then outstanding may request in writing that the we effect a registration of registrable securities (together with the registrable securities which the other holders elect to include in such registration) on any internationally recognized exchange that is reasonably acceptable to such initiating holders. Upon receipt of such a request, we shall, within ten (10) business days thereafter, (x) give written notice of the proposed registration to all other holders (and all other holders shall have the right to join such registration) and (y) as soon as practicable, use reasonable best efforts to cause the registrable securities specified in the request, together with any registrable securities of any holder who requests in writing to join such registration within fifteen (15) business days after our delivery of written notice, to be registered and/or qualified for sale and distribution in such jurisdiction as the initiating holders may request. We are obligated to effect no more than five (5) registrations that have been declared and ordered effective; provided that if the registrable securities sought to be included in the registration are not fully included in the registration for any reason other than solely due to the action or inaction of the holders including registrable securities in such registration, such registration shall not be deemed to constitute one of the registration rights granted.</w:t>
      </w:r>
    </w:p>
    <w:p>
      <w:pPr>
        <w:spacing w:after="0" w:line="117"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r>
        <w:rPr>
          <w:rFonts w:ascii="Times New Roman" w:cs="Times New Roman" w:eastAsia="Times New Roman" w:hAnsi="Times New Roman"/>
          <w:sz w:val="18"/>
          <w:szCs w:val="18"/>
          <w:color w:val="auto"/>
        </w:rPr>
        <w:t>. If we propose to register for our own account any of our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or for the account of any holder of equity securities any of such holder’s equity securities, in connection with the public offering of such securities (except for exempt registrations), we shall promptly give each holder written notice of such registration and, upon the written request of any holder given within fifteen (15) business days after delivery of such notice, we shall use our reasonable best efforts to include in such registration any registrable securities thereby requested to be registered by such holder. If a holder decides not to include all or any of its registrable securities in such registration by us, such holder shall nevertheless continue to have the right to include any registrable securities in any subsequent registration statement or registration statements as may be filed by us, all upon the terms and conditions set forth herein. There shall be no limit on the number of times the holders may request registration of registrable securities.</w:t>
      </w:r>
    </w:p>
    <w:p>
      <w:pPr>
        <w:spacing w:after="0" w:line="110"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Form F-3 Registration Rights</w:t>
      </w:r>
      <w:r>
        <w:rPr>
          <w:rFonts w:ascii="Times New Roman" w:cs="Times New Roman" w:eastAsia="Times New Roman" w:hAnsi="Times New Roman"/>
          <w:sz w:val="18"/>
          <w:szCs w:val="18"/>
          <w:color w:val="auto"/>
        </w:rPr>
        <w:t>. We shall use reasonable best efforts to qualify for registration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 F-3. If we qualify for registration on Form F-3 (or any comparable form for registration in a jurisdiction other than the United States), any holder of fifteen percent (15%) of registrable securities or holders of fifteen percent (15%) of the registrable securities then outstanding, may request us to file, in any jurisdiction in which we have had a registered underwritten public offering, a registration statement on Form F-3 (or any comparable form for registration in a jurisdiction other than the United States), including without limitation any registration statement filed under the Securities Act providing for the registration of, and the sale on a continuous or a delayed basis by the holders of, all of the registrable securities pursuant to Rule 415 under the Securities Act and/or any similar rule that may be adopted by the Commission. Upon receipt of such a request, we shall promptly (i) give written notice of the proposed registration to all other holders and (ii) use reasonable best efforts to cause the registrable securities specified in the request, together with any registrable securities of any holder who requests in writing to join such registration within fifteen (15) business days after our delivery of written notice, to be registered and qualified for sale and distribution in such jurisdiction. There shall be no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7" w:name="page178"/>
    <w:bookmarkEnd w:id="1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limit on the number of times the holders may request registration of registrable securities. Nevertheless, we are obligated to consummate no more than two (2) registrations that have been declared and ordered effective within any twelve (12) month period; provided that if the registrable securities sought to be included in the registration are not fully included in such registration or if the sale of all registrable securities sought to be included in the registration is not consummated for any reason other than solely due to the action or inaction of the holders including registrable securities in such registration, such registration shall not be deemed to constitute one of the registration rights granted. We shall not be obligated to effect any registration if the aggregate offering price to the public of such registration is less than US$1,000,000.</w:t>
      </w:r>
    </w:p>
    <w:p>
      <w:pPr>
        <w:spacing w:after="0" w:line="120"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Expenses of Registration</w:t>
      </w:r>
      <w:r>
        <w:rPr>
          <w:rFonts w:ascii="Times New Roman" w:cs="Times New Roman" w:eastAsia="Times New Roman" w:hAnsi="Times New Roman"/>
          <w:sz w:val="18"/>
          <w:szCs w:val="18"/>
          <w:color w:val="auto"/>
        </w:rPr>
        <w:t>. We will bear all registration expenses incurred in connection with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piggyback or F-3 registration, subject to certain limitations.</w:t>
      </w:r>
    </w:p>
    <w:p>
      <w:pPr>
        <w:spacing w:after="0" w:line="87" w:lineRule="exact"/>
        <w:rPr>
          <w:sz w:val="20"/>
          <w:szCs w:val="20"/>
          <w:color w:val="auto"/>
        </w:rPr>
      </w:pPr>
    </w:p>
    <w:p>
      <w:pPr>
        <w:ind w:left="1620"/>
        <w:spacing w:after="0"/>
        <w:tabs>
          <w:tab w:leader="none" w:pos="4300" w:val="left"/>
        </w:tabs>
        <w:rPr>
          <w:sz w:val="20"/>
          <w:szCs w:val="20"/>
          <w:color w:val="auto"/>
        </w:rPr>
      </w:pPr>
      <w:r>
        <w:rPr>
          <w:rFonts w:ascii="Times New Roman" w:cs="Times New Roman" w:eastAsia="Times New Roman" w:hAnsi="Times New Roman"/>
          <w:sz w:val="18"/>
          <w:szCs w:val="18"/>
          <w:b w:val="1"/>
          <w:bCs w:val="1"/>
          <w:i w:val="1"/>
          <w:iCs w:val="1"/>
          <w:color w:val="auto"/>
        </w:rPr>
        <w:t>Termination of Registration Rights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Our shareholders’ registration rights will terminate on the earlier of</w:t>
      </w:r>
    </w:p>
    <w:p>
      <w:pPr>
        <w:spacing w:after="0" w:line="31" w:lineRule="exact"/>
        <w:rPr>
          <w:sz w:val="20"/>
          <w:szCs w:val="20"/>
          <w:color w:val="auto"/>
        </w:rPr>
      </w:pPr>
    </w:p>
    <w:p>
      <w:pPr>
        <w:jc w:val="both"/>
        <w:ind w:left="1260" w:right="419"/>
        <w:spacing w:after="0" w:line="255" w:lineRule="auto"/>
        <w:tabs>
          <w:tab w:leader="none" w:pos="149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five (5) years from the date of closing of an initial public offering, (ii) with respect to any holder, the date on which such holder may sell all of such holder’s registrable securities under Rule 144 of the Securities Act in any ninety (90)-day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8" w:name="page179"/>
    <w:bookmarkEnd w:id="1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Bank of New York Mellon, as depositary, will register and deliver American Depositary Shares, also referred to as ADSs. Each ADS represents one Class A ordinary share (or a right to receive one Class A ordinary share) deposited with The Hongkong and Shanghai Banking Corporation Limited, as custodian for the depositary in Hong Kong.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32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32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Registered holders of uncertificated ADSs will receive statements from the depositary confirming their holdings.</w:t>
      </w:r>
    </w:p>
    <w:p>
      <w:pPr>
        <w:spacing w:after="0" w:line="95"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As an ADS holder, we will not treat you as one of our shareholders and you will not have shareholder rights. Cayman Islands law governs shareholder rights. The depositary will be the holder of the shares underlying the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1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 For more complete information, you should read the entire deposit agreement and the form of ADR. For directions on how to obtain copies of those documents, see “Where You Can Find Additional Information.”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Will You Receive Dividends and Other Distributions on the Shares?</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the ADSs represent.</w:t>
      </w:r>
    </w:p>
    <w:p>
      <w:pPr>
        <w:spacing w:after="0" w:line="98" w:lineRule="exact"/>
        <w:rPr>
          <w:sz w:val="20"/>
          <w:szCs w:val="20"/>
          <w:color w:val="auto"/>
        </w:rPr>
      </w:pPr>
    </w:p>
    <w:p>
      <w:pPr>
        <w:jc w:val="both"/>
        <w:ind w:left="1260" w:right="41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The depositary will convert any cash dividend or other cash distribution we pay on the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1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Before making a distribution, any withholding taxes, or other governmental charges that must be paid will be deducted. See “Taxation.” The depositary will distribute only whole U.S. dollars and cents and will round fractional cents to the nearest whole cent. If the exchange rates fluctuate during a time when the depositary cannot convert the foreign currency, you may lose some of the value of the distribution.</w:t>
      </w:r>
    </w:p>
    <w:p>
      <w:pPr>
        <w:spacing w:after="0" w:line="106"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The depositary may distribute additional ADSs representing any shares we distribute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 or free distribution. The depositary will only distribute whole ADSs. It will sell shares which would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9" w:name="page180"/>
    <w:bookmarkEnd w:id="1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318" w:lineRule="exact"/>
        <w:rPr>
          <w:sz w:val="20"/>
          <w:szCs w:val="20"/>
          <w:color w:val="auto"/>
        </w:rPr>
      </w:pPr>
    </w:p>
    <w:p>
      <w:pPr>
        <w:jc w:val="both"/>
        <w:ind w:left="1260" w:right="41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Rights to purchase additional shares</w:t>
      </w:r>
      <w:r>
        <w:rPr>
          <w:rFonts w:ascii="Times New Roman" w:cs="Times New Roman" w:eastAsia="Times New Roman" w:hAnsi="Times New Roman"/>
          <w:sz w:val="18"/>
          <w:szCs w:val="18"/>
          <w:color w:val="auto"/>
        </w:rPr>
        <w:t>. If we offer holders of our securities any rights to subscribe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shares or any other rights, the depositary may (i) exercise those rights on behalf of ADS holders,</w:t>
      </w:r>
    </w:p>
    <w:p>
      <w:pPr>
        <w:spacing w:after="0" w:line="1" w:lineRule="exact"/>
        <w:rPr>
          <w:sz w:val="20"/>
          <w:szCs w:val="20"/>
          <w:color w:val="auto"/>
        </w:rPr>
      </w:pPr>
    </w:p>
    <w:p>
      <w:pPr>
        <w:jc w:val="both"/>
        <w:ind w:left="1260" w:right="419"/>
        <w:spacing w:after="0"/>
        <w:tabs>
          <w:tab w:leader="none" w:pos="155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327"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Other Distributions</w:t>
      </w:r>
      <w:r>
        <w:rPr>
          <w:rFonts w:ascii="Times New Roman" w:cs="Times New Roman" w:eastAsia="Times New Roman" w:hAnsi="Times New Roman"/>
          <w:sz w:val="18"/>
          <w:szCs w:val="18"/>
          <w:color w:val="auto"/>
        </w:rPr>
        <w:t>. The depositary will send to ADS holders anything else we distribute on deposited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324"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Are ADSs Issued?</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Can ADS Holders Withdraw the Deposited Securities?</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You may surrender the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ADS Holders Interchange Between Certificated ADSs and Uncertificated ADSs?</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You may surrender your ADR to the depositary for the purpose of exchanging your ADR for uncertificated ADSs. The depositary will cancel that ADR and will send to the ADS holder a statement</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0" w:name="page181"/>
    <w:bookmarkEnd w:id="1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You Vote?</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or as described in the following sentence. If (i) we asked the depositary to solicit your instructions at least 30 days before the meeting date, (ii) the depositary does not receive voting instructions from you by the specified date with respect to a question to be voted upon and (iii) we confirm to the depositary that:</w:t>
      </w:r>
    </w:p>
    <w:p>
      <w:pPr>
        <w:spacing w:after="0" w:line="302" w:lineRule="exact"/>
        <w:rPr>
          <w:sz w:val="20"/>
          <w:szCs w:val="20"/>
          <w:color w:val="auto"/>
        </w:rPr>
      </w:pPr>
    </w:p>
    <w:p>
      <w:pPr>
        <w:ind w:left="1800" w:hanging="180"/>
        <w:spacing w:after="0"/>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wish to receive a proxy to vote uninstructed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reasonably do not know of any substantial shareholder opposition to a particular question;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particular question is not materially adverse to the interests of shareholders,</w:t>
      </w:r>
    </w:p>
    <w:p>
      <w:pPr>
        <w:spacing w:after="0" w:line="15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depositary will consider you to have authorized and directed it to give, and it will give, a discretionary proxy to a person designated by us to vote the number of deposited securities represented by your ADSs as to that question.</w:t>
      </w:r>
    </w:p>
    <w:p>
      <w:pPr>
        <w:spacing w:after="0" w:line="95"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If we do not request the depositary to solicit your voting instructions, you can still send voting instructions, and, in that case, the depositary may try to vote as you instruct, but it is not required to do so.</w:t>
      </w:r>
    </w:p>
    <w:p>
      <w:pPr>
        <w:spacing w:after="0" w:line="94"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Except by instructing the depositary as described above, you will not be able to exercise voting rights unless you surrender your ADSs and withdraw the shares. However, you may not know about the meeting enough in advance to withdraw the shares. In any event, the depositary will not exercise any discretion in voting deposited securities and it will only vote or attempt to vote as instructed.</w:t>
      </w:r>
    </w:p>
    <w:p>
      <w:pPr>
        <w:spacing w:after="0" w:line="11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cannot assure you that you will receive the voting materials in time to ensure that you can instruct the depositary to vote the shares represented by your ADSs. In addition, the depositary and its agents are not responsible for failing to carry out voting instructions or for the manner of carrying out voting instructions. This means that you may not be able to exercise voting rights and there may be nothing you can do if the shares represented by your ADSs are not voted as you requested.</w:t>
      </w:r>
    </w:p>
    <w:p>
      <w:pPr>
        <w:spacing w:after="0" w:line="102"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1" w:name="page182"/>
    <w:bookmarkEnd w:id="1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9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Persons depositing or withdrawing shares</w:t>
      </w:r>
    </w:p>
    <w:p>
      <w:pPr>
        <w:ind w:left="1260"/>
        <w:spacing w:after="0" w:line="182" w:lineRule="auto"/>
        <w:tabs>
          <w:tab w:leader="none" w:pos="2480" w:val="left"/>
          <w:tab w:leader="none" w:pos="5300" w:val="left"/>
          <w:tab w:leader="none" w:pos="7320" w:val="left"/>
          <w:tab w:leader="none" w:pos="944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12"/>
          <w:szCs w:val="12"/>
          <w:b w:val="1"/>
          <w:bCs w:val="1"/>
          <w:color w:val="auto"/>
        </w:rPr>
        <w:t>or ADS holders must pay:</w:t>
      </w:r>
      <w:r>
        <w:rPr>
          <w:sz w:val="20"/>
          <w:szCs w:val="20"/>
          <w:color w:val="auto"/>
        </w:rPr>
        <w:tab/>
      </w:r>
      <w:r>
        <w:rPr>
          <w:rFonts w:ascii="Times New Roman" w:cs="Times New Roman" w:eastAsia="Times New Roman" w:hAnsi="Times New Roman"/>
          <w:sz w:val="25"/>
          <w:szCs w:val="25"/>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For:</w:t>
      </w:r>
      <w:r>
        <w:rPr>
          <w:sz w:val="20"/>
          <w:szCs w:val="20"/>
          <w:color w:val="auto"/>
        </w:rPr>
        <w:tab/>
      </w:r>
      <w:r>
        <w:rPr>
          <w:rFonts w:ascii="Times New Roman" w:cs="Times New Roman" w:eastAsia="Times New Roman" w:hAnsi="Times New Roman"/>
          <w:sz w:val="25"/>
          <w:szCs w:val="25"/>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ind w:left="1260"/>
        <w:spacing w:after="0" w:line="181" w:lineRule="auto"/>
        <w:tabs>
          <w:tab w:leader="none" w:pos="1600" w:val="left"/>
        </w:tabs>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US$5.00 (or less) per 100 ADSs (or portion of</w:t>
      </w: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8"/>
          <w:szCs w:val="18"/>
          <w:color w:val="auto"/>
        </w:rPr>
        <w:t xml:space="preserve"> •  Issuance of ADSs, including issuances resulting</w:t>
      </w:r>
      <w:r>
        <w:rPr>
          <w:rFonts w:ascii="Times New Roman" w:cs="Times New Roman" w:eastAsia="Times New Roman" w:hAnsi="Times New Roman"/>
          <w:sz w:val="34"/>
          <w:szCs w:val="34"/>
          <w:color w:val="auto"/>
          <w:vertAlign w:val="superscript"/>
        </w:rPr>
        <w:t>​</w:t>
      </w:r>
    </w:p>
    <w:p>
      <w:pPr>
        <w:spacing w:after="0" w:line="1" w:lineRule="exact"/>
        <w:rPr>
          <w:sz w:val="20"/>
          <w:szCs w:val="20"/>
          <w:color w:val="auto"/>
        </w:rPr>
      </w:pPr>
    </w:p>
    <w:p>
      <w:pPr>
        <w:ind w:left="5660" w:right="419" w:hanging="4031"/>
        <w:spacing w:after="0" w:line="249" w:lineRule="auto"/>
        <w:tabs>
          <w:tab w:leader="none" w:pos="5640" w:val="left"/>
        </w:tabs>
        <w:rPr>
          <w:sz w:val="20"/>
          <w:szCs w:val="20"/>
          <w:color w:val="auto"/>
        </w:rPr>
      </w:pPr>
      <w:r>
        <w:rPr>
          <w:rFonts w:ascii="Times New Roman" w:cs="Times New Roman" w:eastAsia="Times New Roman" w:hAnsi="Times New Roman"/>
          <w:sz w:val="18"/>
          <w:szCs w:val="18"/>
          <w:color w:val="auto"/>
        </w:rPr>
        <w:t>100 ADSs)</w:t>
      </w:r>
      <w:r>
        <w:rPr>
          <w:sz w:val="20"/>
          <w:szCs w:val="20"/>
          <w:color w:val="auto"/>
        </w:rPr>
        <w:tab/>
      </w:r>
      <w:r>
        <w:rPr>
          <w:rFonts w:ascii="Times New Roman" w:cs="Times New Roman" w:eastAsia="Times New Roman" w:hAnsi="Times New Roman"/>
          <w:sz w:val="18"/>
          <w:szCs w:val="18"/>
          <w:color w:val="auto"/>
        </w:rPr>
        <w:t>from a distribution of shares or rights or other property</w:t>
      </w:r>
    </w:p>
    <w:p>
      <w:pPr>
        <w:sectPr>
          <w:pgSz w:w="11900" w:h="16838" w:orient="portrait"/>
          <w:cols w:equalWidth="0" w:num="1">
            <w:col w:w="9879"/>
          </w:cols>
          <w:pgMar w:left="580" w:top="97" w:right="1440" w:bottom="1440" w:gutter="0" w:footer="0" w:header="0"/>
        </w:sectPr>
      </w:pP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36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US$0.05 (or less) per ADS</w:t>
      </w:r>
    </w:p>
    <w:p>
      <w:pPr>
        <w:spacing w:after="0" w:line="20" w:lineRule="exact"/>
        <w:rPr>
          <w:sz w:val="20"/>
          <w:szCs w:val="20"/>
          <w:color w:val="auto"/>
        </w:rPr>
      </w:pPr>
      <w:r>
        <w:rPr>
          <w:sz w:val="20"/>
          <w:szCs w:val="20"/>
          <w:color w:val="auto"/>
        </w:rPr>
        <w:br w:type="column"/>
      </w:r>
    </w:p>
    <w:p>
      <w:pPr>
        <w:jc w:val="both"/>
        <w:ind w:left="400" w:right="359" w:hanging="395"/>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 Cancellation</w:t>
      </w:r>
      <w:r>
        <w:rPr>
          <w:sz w:val="20"/>
          <w:szCs w:val="20"/>
          <w:color w:val="auto"/>
        </w:rPr>
        <w:t xml:space="preserve"> </w:t>
      </w:r>
      <w:r>
        <w:rPr>
          <w:rFonts w:ascii="Times New Roman" w:cs="Times New Roman" w:eastAsia="Times New Roman" w:hAnsi="Times New Roman"/>
          <w:sz w:val="18"/>
          <w:szCs w:val="18"/>
          <w:color w:val="auto"/>
        </w:rPr>
        <w:t>of ADSs for the purpose of</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withdrawal, including if the deposit agreement terminates</w:t>
      </w:r>
    </w:p>
    <w:p>
      <w:pPr>
        <w:spacing w:after="0" w:line="211" w:lineRule="auto"/>
        <w:tabs>
          <w:tab w:leader="none" w:pos="4180" w:val="left"/>
        </w:tabs>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  Any cash distribution to ADS holders</w:t>
      </w:r>
      <w:r>
        <w:rPr>
          <w:sz w:val="20"/>
          <w:szCs w:val="20"/>
          <w:color w:val="auto"/>
        </w:rPr>
        <w:tab/>
      </w:r>
      <w:r>
        <w:rPr>
          <w:rFonts w:ascii="Times New Roman" w:cs="Times New Roman" w:eastAsia="Times New Roman" w:hAnsi="Times New Roman"/>
          <w:sz w:val="36"/>
          <w:szCs w:val="36"/>
          <w:color w:val="auto"/>
          <w:vertAlign w:val="superscript"/>
        </w:rPr>
        <w:t>​</w:t>
      </w:r>
    </w:p>
    <w:p>
      <w:pPr>
        <w:spacing w:after="0" w:line="1" w:lineRule="exact"/>
        <w:rPr>
          <w:sz w:val="20"/>
          <w:szCs w:val="20"/>
          <w:color w:val="auto"/>
        </w:rPr>
      </w:pPr>
    </w:p>
    <w:p>
      <w:pPr>
        <w:sectPr>
          <w:pgSz w:w="11900" w:h="16838" w:orient="portrait"/>
          <w:cols w:equalWidth="0" w:num="2">
            <w:col w:w="4540" w:space="720"/>
            <w:col w:w="46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60"/>
        </w:trPr>
        <w:tc>
          <w:tcPr>
            <w:tcW w:w="22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w:t>
            </w:r>
          </w:p>
        </w:tc>
        <w:tc>
          <w:tcPr>
            <w:tcW w:w="37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  fee  equivalent  to  the  fee  that  would  be</w:t>
            </w:r>
          </w:p>
        </w:tc>
        <w:tc>
          <w:tcPr>
            <w:tcW w:w="18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Distribution of securities distributed to holders of</w:t>
            </w:r>
          </w:p>
        </w:tc>
        <w:tc>
          <w:tcPr>
            <w:tcW w:w="6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3"/>
        </w:trPr>
        <w:tc>
          <w:tcPr>
            <w:tcW w:w="22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w:t>
            </w:r>
          </w:p>
        </w:tc>
        <w:tc>
          <w:tcPr>
            <w:tcW w:w="37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38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payable if securities distributed to you had been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deposited  securities  (including  rights)  that  are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and the shares had been deposited for</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distributed by the depositary to ADS holders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ADSs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ind w:left="1260"/>
        <w:spacing w:after="0" w:line="373"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US$0.05 (or less) per ADS per calendar year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Registration or transfer fees</w:t>
      </w:r>
    </w:p>
    <w:p>
      <w:pPr>
        <w:spacing w:after="0" w:line="20" w:lineRule="exact"/>
        <w:rPr>
          <w:sz w:val="20"/>
          <w:szCs w:val="20"/>
          <w:color w:val="auto"/>
        </w:rPr>
      </w:pPr>
      <w:r>
        <w:rPr>
          <w:sz w:val="20"/>
          <w:szCs w:val="20"/>
          <w:color w:val="auto"/>
        </w:rPr>
        <w:br w:type="column"/>
      </w:r>
    </w:p>
    <w:p>
      <w:pPr>
        <w:spacing w:after="0" w:line="181" w:lineRule="auto"/>
        <w:tabs>
          <w:tab w:leader="none" w:pos="4180" w:val="left"/>
        </w:tabs>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  Depositary services</w:t>
      </w:r>
      <w:r>
        <w:rPr>
          <w:sz w:val="20"/>
          <w:szCs w:val="20"/>
          <w:color w:val="auto"/>
        </w:rPr>
        <w:tab/>
      </w:r>
      <w:r>
        <w:rPr>
          <w:rFonts w:ascii="Times New Roman" w:cs="Times New Roman" w:eastAsia="Times New Roman" w:hAnsi="Times New Roman"/>
          <w:sz w:val="31"/>
          <w:szCs w:val="31"/>
          <w:color w:val="auto"/>
          <w:vertAlign w:val="superscript"/>
        </w:rPr>
        <w:t>​</w:t>
      </w:r>
    </w:p>
    <w:p>
      <w:pPr>
        <w:spacing w:after="0" w:line="1" w:lineRule="exact"/>
        <w:rPr>
          <w:sz w:val="20"/>
          <w:szCs w:val="20"/>
          <w:color w:val="auto"/>
        </w:rPr>
      </w:pPr>
    </w:p>
    <w:p>
      <w:pPr>
        <w:jc w:val="both"/>
        <w:ind w:left="400" w:right="359" w:hanging="395"/>
        <w:spacing w:after="0" w:line="209" w:lineRule="auto"/>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 Transfer and registration of shares on our share</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register to or from the name of the depositary or its agent when you deposit or withdraw shares</w:t>
      </w:r>
    </w:p>
    <w:p>
      <w:pPr>
        <w:spacing w:after="0" w:line="1" w:lineRule="exact"/>
        <w:rPr>
          <w:sz w:val="20"/>
          <w:szCs w:val="20"/>
          <w:color w:val="auto"/>
        </w:rPr>
      </w:pPr>
    </w:p>
    <w:p>
      <w:pPr>
        <w:sectPr>
          <w:pgSz w:w="11900" w:h="16838" w:orient="portrait"/>
          <w:cols w:equalWidth="0" w:num="2">
            <w:col w:w="5000" w:space="260"/>
            <w:col w:w="46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65"/>
        </w:trPr>
        <w:tc>
          <w:tcPr>
            <w:tcW w:w="220" w:type="dxa"/>
            <w:vAlign w:val="bottom"/>
          </w:tcPr>
          <w:p>
            <w:pPr>
              <w:spacing w:after="0" w:line="165" w:lineRule="exact"/>
              <w:rPr>
                <w:sz w:val="20"/>
                <w:szCs w:val="20"/>
                <w:color w:val="auto"/>
              </w:rPr>
            </w:pPr>
            <w:r>
              <w:rPr>
                <w:rFonts w:ascii="Times New Roman" w:cs="Times New Roman" w:eastAsia="Times New Roman" w:hAnsi="Times New Roman"/>
                <w:sz w:val="18"/>
                <w:szCs w:val="18"/>
                <w:color w:val="auto"/>
              </w:rPr>
              <w:t>​</w:t>
            </w:r>
          </w:p>
        </w:tc>
        <w:tc>
          <w:tcPr>
            <w:tcW w:w="37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Expenses of the depositary</w:t>
            </w:r>
          </w:p>
        </w:tc>
        <w:tc>
          <w:tcPr>
            <w:tcW w:w="180" w:type="dxa"/>
            <w:vAlign w:val="bottom"/>
          </w:tcPr>
          <w:p>
            <w:pPr>
              <w:spacing w:after="0" w:line="165"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Cable   and   facsimile   transmissions   (when</w:t>
            </w:r>
          </w:p>
        </w:tc>
        <w:tc>
          <w:tcPr>
            <w:tcW w:w="60" w:type="dxa"/>
            <w:vAlign w:val="bottom"/>
          </w:tcPr>
          <w:p>
            <w:pPr>
              <w:spacing w:after="0" w:line="16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3"/>
        </w:trPr>
        <w:tc>
          <w:tcPr>
            <w:tcW w:w="22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w:t>
            </w:r>
          </w:p>
        </w:tc>
        <w:tc>
          <w:tcPr>
            <w:tcW w:w="37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38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Pr>
          <w:p>
            <w:pPr>
              <w:spacing w:after="0"/>
              <w:rPr>
                <w:sz w:val="20"/>
                <w:szCs w:val="20"/>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w:t>
            </w: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expressly provided in the deposit agreement)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20" w:type="dxa"/>
            <w:vAlign w:val="bottom"/>
            <w:vMerge w:val="continue"/>
          </w:tcPr>
          <w:p>
            <w:pPr>
              <w:spacing w:after="0"/>
              <w:rPr>
                <w:sz w:val="20"/>
                <w:szCs w:val="20"/>
                <w:color w:val="auto"/>
              </w:rPr>
            </w:pPr>
          </w:p>
        </w:tc>
        <w:tc>
          <w:tcPr>
            <w:tcW w:w="3780" w:type="dxa"/>
            <w:vAlign w:val="bottom"/>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Converting foreign currency to U.S. dollars</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7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Taxes  and  other  governmental  charges  the</w:t>
            </w: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As necessary</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3"/>
        </w:trPr>
        <w:tc>
          <w:tcPr>
            <w:tcW w:w="22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rPr>
              <w:t>•</w:t>
            </w:r>
          </w:p>
        </w:tc>
        <w:tc>
          <w:tcPr>
            <w:tcW w:w="37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38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depositary or the custodian has to pay on any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ADSs or shares underlying ADSs, such as stock</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 taxes, stamp duty or withholding taxes</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220" w:type="dxa"/>
            <w:vAlign w:val="bottom"/>
            <w:vMerge w:val="continue"/>
          </w:tcPr>
          <w:p>
            <w:pPr>
              <w:spacing w:after="0"/>
              <w:rPr>
                <w:sz w:val="14"/>
                <w:szCs w:val="14"/>
                <w:color w:val="auto"/>
              </w:rPr>
            </w:pPr>
          </w:p>
        </w:tc>
        <w:tc>
          <w:tcPr>
            <w:tcW w:w="37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Any charges incurred by the depositary or its</w:t>
            </w:r>
          </w:p>
        </w:tc>
        <w:tc>
          <w:tcPr>
            <w:tcW w:w="180" w:type="dxa"/>
            <w:vAlign w:val="bottom"/>
            <w:vMerge w:val="continue"/>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As necessary</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0" w:type="dxa"/>
            <w:vAlign w:val="bottom"/>
          </w:tcPr>
          <w:p>
            <w:pPr>
              <w:spacing w:after="0" w:line="123" w:lineRule="exact"/>
              <w:rPr>
                <w:sz w:val="20"/>
                <w:szCs w:val="20"/>
                <w:color w:val="auto"/>
              </w:rPr>
            </w:pPr>
            <w:r>
              <w:rPr>
                <w:rFonts w:ascii="Times New Roman" w:cs="Times New Roman" w:eastAsia="Times New Roman" w:hAnsi="Times New Roman"/>
                <w:sz w:val="13"/>
                <w:szCs w:val="13"/>
                <w:color w:val="auto"/>
              </w:rPr>
              <w:t>•</w:t>
            </w:r>
          </w:p>
        </w:tc>
        <w:tc>
          <w:tcPr>
            <w:tcW w:w="37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3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620"/>
        <w:spacing w:after="0"/>
        <w:rPr>
          <w:sz w:val="20"/>
          <w:szCs w:val="20"/>
          <w:color w:val="auto"/>
        </w:rPr>
      </w:pPr>
      <w:r>
        <w:rPr>
          <w:rFonts w:ascii="Times New Roman" w:cs="Times New Roman" w:eastAsia="Times New Roman" w:hAnsi="Times New Roman"/>
          <w:sz w:val="18"/>
          <w:szCs w:val="18"/>
          <w:color w:val="auto"/>
        </w:rPr>
        <w:t>agents for servicing the deposited securities</w:t>
      </w:r>
    </w:p>
    <w:p>
      <w:pPr>
        <w:spacing w:after="0" w:line="13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07"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2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2" w:name="page183"/>
    <w:bookmarkEnd w:id="1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6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on the ADSs or on the deposited securities represented by any of the ADSs. The depositary may refuse to register any transfer of the ADSs or allow you to withdraw the deposited securities represented by the ADSs until those taxes or other charges are paid. It may apply payments owed to you or sell deposited securities represented by the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Tender and Exchange Offers; Redemption, Replacement or Cancellation of Deposited Securities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09"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0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324"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ADSs in exchange for new ADSs identifying the new deposited securities.</w:t>
      </w:r>
    </w:p>
    <w:p>
      <w:pPr>
        <w:spacing w:after="0" w:line="33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ADRs without your consent for any reason. If an amendment adds or increases fees or charges, except for taxes and other governmental</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3" w:name="page184"/>
    <w:bookmarkEnd w:id="1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the ADSs, to agree to the amendment and to be bound by the ADRs and the deposit agreement as amended.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depositary will initiate termination of the deposit agreement if we instruct it to do so. The depositary may initiate termination of the deposit agreement if</w:t>
      </w:r>
    </w:p>
    <w:p>
      <w:pPr>
        <w:spacing w:after="0" w:line="54" w:lineRule="exact"/>
        <w:rPr>
          <w:sz w:val="20"/>
          <w:szCs w:val="20"/>
          <w:color w:val="auto"/>
        </w:rPr>
      </w:pPr>
    </w:p>
    <w:p>
      <w:pPr>
        <w:ind w:left="1800" w:right="419" w:hanging="180"/>
        <w:spacing w:after="0" w:line="282"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have passed since the depositary told us it wants to resign but a successor depositary has not been appointed and accepted its appointment;</w:t>
      </w:r>
    </w:p>
    <w:p>
      <w:pPr>
        <w:spacing w:after="0" w:line="8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8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delist our shares from an exchange outside the United States on which they were listed and do not list the shares on another exchange outside the United States;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reason to believe the ADSs have become, or will become, ineligible for registration on Form F-6 under the Securities Act of 1933;</w:t>
      </w:r>
    </w:p>
    <w:p>
      <w:pPr>
        <w:spacing w:after="0" w:line="8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appear to be insolvent or enter insolvency proceedings;</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the value of the deposited securities has been distributed either in cash or in the form of securities;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deposited securities underlying the ADSs or the underlying deposited securities have become apparently worthless; or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replacement of deposited securities.</w:t>
      </w:r>
    </w:p>
    <w:p>
      <w:pPr>
        <w:spacing w:after="0" w:line="158"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2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Holders of ADSs</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It also limits our liability and the liability of the depositary. We and the depositary:</w:t>
      </w:r>
    </w:p>
    <w:p>
      <w:pPr>
        <w:spacing w:after="0" w:line="67" w:lineRule="exact"/>
        <w:rPr>
          <w:sz w:val="20"/>
          <w:szCs w:val="20"/>
          <w:color w:val="auto"/>
        </w:rPr>
      </w:pPr>
    </w:p>
    <w:p>
      <w:pPr>
        <w:jc w:val="both"/>
        <w:ind w:left="1800" w:right="419" w:hanging="180"/>
        <w:spacing w:after="0" w:line="275"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negligence or bad faith, and the depositary will not be a fiduciary or have any fiduciary duty to holders of ADSs;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4" w:name="page185"/>
    <w:bookmarkEnd w:id="1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66"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we or it exercises discretion permitted under the deposit agreement;</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3"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278"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obligation to become involved in a lawsuit or other proceeding related to the ADSs or the deposit agreement on your behalf or on behalf of any other person;</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or it believes in good faith to be genuine and to have been signed or presented by the proper person;</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acts or omissions of any securities depository, clearing agency or settlement system; and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0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 the deposit agreement, we and the depositary agree to indemnify each other under certain circumstances.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Requirements for Depositary Actions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Before the depositary will deliver or register a transfer of ADSs, make a distribution on ADSs, or permit withdrawal of shares, the depositary may require:</w:t>
      </w:r>
    </w:p>
    <w:p>
      <w:pPr>
        <w:spacing w:after="0" w:line="54" w:lineRule="exact"/>
        <w:rPr>
          <w:sz w:val="20"/>
          <w:szCs w:val="20"/>
          <w:color w:val="auto"/>
        </w:rPr>
      </w:pPr>
    </w:p>
    <w:p>
      <w:pPr>
        <w:ind w:left="1800" w:right="419" w:hanging="180"/>
        <w:spacing w:after="0" w:line="282"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stock transfer or other taxes or other governmental charges and transfer or registration fees charged by third parties for the transfer of any shares or other deposited securities;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other information it deems necessary; and</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regulations it may establish, from time to time, consistent with the deposit agreement, including presentation of transfer documents.</w:t>
      </w:r>
    </w:p>
    <w:p>
      <w:pPr>
        <w:spacing w:after="0" w:line="94"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Your Right to Receive the Shares Underlying the ADSs</w:t>
      </w:r>
    </w:p>
    <w:p>
      <w:pPr>
        <w:spacing w:after="0" w:line="14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ADS holders have the right to cancel their ADSs and withdraw the underlying shares at any time except:</w:t>
      </w:r>
    </w:p>
    <w:p>
      <w:pPr>
        <w:spacing w:after="0" w:line="315" w:lineRule="exact"/>
        <w:rPr>
          <w:sz w:val="20"/>
          <w:szCs w:val="20"/>
          <w:color w:val="auto"/>
        </w:rPr>
      </w:pPr>
    </w:p>
    <w:p>
      <w:pPr>
        <w:jc w:val="both"/>
        <w:ind w:left="1800" w:right="419" w:hanging="180"/>
        <w:spacing w:after="0" w:line="266"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 or</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is necessary to prohibit withdrawals in order to comply with any laws or governmental regulations that apply to ADSs or to the withdrawal of shares or other deposited securities.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 Registration System</w:t>
      </w:r>
    </w:p>
    <w:p>
      <w:pPr>
        <w:spacing w:after="0" w:line="148"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In the deposit agreement, all parties to the deposit agreement acknowledge that the Direct Registration System, also referred to as DRS, and Profile Modification System, also referred to as Profile, will apply to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5" w:name="page186"/>
    <w:bookmarkEnd w:id="1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2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 Communications; Inspection of Register of Holders of ADSs</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14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You will not, by agreeing to the terms of the deposit agreement, be deemed to have waived our or the depositary’s compliance with U.S. federal securities laws or the rules and regulations promulgated thereunder.</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Jurisdiction</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laws of the State of New York govern the deposit agreement and the ADSs and we have agreed with the depositary that any state or federal court in the State of New York shall have exclusive jurisdiction to hear and determine any dispute arising from or relating in any way to the deposit agreement (including claims arising under both the Securities Act of 1933 and the Securities Exchange Act of 1934)). In addition, we have also agreed with the depositary that any controversy, claim or cause of action brought by any party of the deposit agreement against us arising out of or relating to, among other things, the ADSs or the deposit agreement, or the breach hereof or thereof, may be settled by arbitration in accordance with the International Arbitration Rules of the American Arbitration Association. The arbitration provisions of the deposit agreement do not preclude you from pursuing claims under the Securities Act or the Exchange Act in any state or federal court in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6" w:name="page187"/>
    <w:bookmarkEnd w:id="1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Upon completion of this offering, we will have 14,683,991 ADSs outstanding, representing 14,683,991 Class A ordinary shares, or approximately 8.0% of our issued and outstanding ordinary shares, assuming the underwriters do not exercise their option to purchase additional ADSs. All of the ADSs sold in this offering will be freely transferable by persons other than our “affiliates” without restriction or further registration under the Securities Act. Sales of substantial amounts of the ADSs in the public market could adversely affect prevailing market prices of the ADSs. Prior to this offering, there has been no public market for our Class A ordinary shares or the ADSs, and while the ADSs have been approved for listing on Nasdaq, we cannot assure you that a regular trading market will develop in the ADSs.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our directors, executive officers and existing shareholders have agreed, subject to some exceptions, not to offer, pledge, sell, or dispose of, directly or indirectly, any shares of our share capital, or securities convertible into or exchangeable or exercisable for any shares of our share capital, for a period of 180 days after the date of this prospectus. After the expiration of the 180-day period, the ordinary shares or ADSs held by our directors, executive officers and our existing shareholders may be sold subject to the restrictions under Rule 144 under the Securities Act or by means of registered public offerings.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4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All of our ordinary shares issued and outstanding prior to this offering are “restricted stock” as that term is defined in Rule 144 under the Securities Act and may be sold publicly in the United States only if they are subject to an effective registration statement under the Securities Act or pursuant to an exemption from the registration requirements. Under Rule 144 as currently in effect, a person who has beneficially owned our restricted stock for at least six months is generally entitled to sell the restricted securities without registration under the Securities Act beginning 90 days after the date of this prospectus, subject to certain additional restrictions.</w:t>
      </w:r>
    </w:p>
    <w:p>
      <w:pPr>
        <w:spacing w:after="0" w:line="121"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Our affiliates may sell within any three-month period a number of restricted stock that does not exceed the greater of the following:</w:t>
      </w:r>
    </w:p>
    <w:p>
      <w:pPr>
        <w:spacing w:after="0" w:line="54" w:lineRule="exact"/>
        <w:rPr>
          <w:sz w:val="20"/>
          <w:szCs w:val="20"/>
          <w:color w:val="auto"/>
        </w:rPr>
      </w:pPr>
    </w:p>
    <w:p>
      <w:pPr>
        <w:jc w:val="both"/>
        <w:ind w:left="1800" w:right="419" w:hanging="180"/>
        <w:spacing w:after="0" w:line="266"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then issued and outstanding ordinary shares of the same class, represented by the ADSs or otherwise, which will equal approximately 1,835,498 ordinary shares immediately after this offering, assuming the underwriters do not exercise their option to purchase additional ADSs; or</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ordinary shares represented by the ADSs or otherwise on the Nasdaq during the four calendar weeks preceding the date on which notice of the sale is filed with the SEC.</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Affiliates who sell restricted securities under Rule 144 may not solicit orders or arrange for the solicitation of orders, and they are also subject to notice requirements and the availability of current public information about us.</w:t>
      </w:r>
    </w:p>
    <w:p>
      <w:pPr>
        <w:spacing w:after="0" w:line="95"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stock for more than one year.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our employees, consultants or advisors who purchases our ordinary shares from us in connection with a compensatory stock or option plan or other written agreement relating to compensation is eligible to resell such ordinary shares 90 days after we became a reporting company under the Exchange Act in reliance on Rule 144, but without compliance with some of the restrictions, including the holding period, contained in Rule 144.</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7" w:name="page188"/>
    <w:bookmarkEnd w:id="1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Upon completion of this offering, certain holders of our ordinary shares or their transferees will be entitled to request that we register their shares under the Securities Act, following the expiration of the lock-up agreements described above. See “Description of Share Capital — Registration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8" w:name="page189"/>
    <w:bookmarkEnd w:id="1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6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The following discussion of Cayman Islands, PRC and U.S. federal income tax consequences of an investment in the ADSs or Class A ordinary shares is based upon laws and relevant interpretations thereof in effect as of the date of this prospectus, all of which are subject to change. This discussion does not deal with all possible tax consequences relating to an investment in the ADSs or Class A ordinary shares, such as the tax consequences under state, local and other tax laws. To the extent that the discussion relates to matters of Cayman Islands tax law, it represents the opinion of Maples and Calder (Hong Kong) LLP, our Cayman Islands counsel. To the extent that the discussion relates to matters of PRC tax law, it represents the opinion of King &amp; Wood Mallesons, our PRC legal counsel.</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4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or holders of the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Payments of dividends and capital in respect of the ADSs or Class A ordinary shares will not be subject to taxation in the Cayman Islands and no withholding will be required on the payment of a dividend or capital to any holder of the ADSs or Class A ordinary shares, nor will gains derived from the disposal of the ADSs or Class A ordinary shares be subject to Cayman Islands income or corporation tax.</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14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Under the PRC EIT Law, which became effective on January 1, 2008 and was last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regulations to the PRC EIT Law, a “de facto management body” is defined as a body that has material and overall management and control over the manufacturing and business operations, personnel and human resources, finances and properties of an enterprise.</w:t>
      </w:r>
    </w:p>
    <w:p>
      <w:pPr>
        <w:spacing w:after="0" w:line="114"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 addition, the STA Circular 82 issued by the STA in April 2009 and was amended in December 2017, specifies that certain offshore incorporated enterprises controlled by PRC enterprises or PRC enterprise groups will be classified as PRC resident enterprises if the following are located or resident in the PRC:</w:t>
      </w:r>
    </w:p>
    <w:p>
      <w:pPr>
        <w:spacing w:after="0" w:line="2" w:lineRule="exact"/>
        <w:rPr>
          <w:sz w:val="20"/>
          <w:szCs w:val="20"/>
          <w:color w:val="auto"/>
        </w:rPr>
      </w:pPr>
    </w:p>
    <w:p>
      <w:pPr>
        <w:jc w:val="both"/>
        <w:ind w:left="1260" w:right="419"/>
        <w:spacing w:after="0"/>
        <w:tabs>
          <w:tab w:leader="none" w:pos="153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personnel and departments that are responsible for daily production, operation and management; (b) financial and personnel decision making bodies; (c) key properties, accounting books, company seal, minutes of board meetings and shareholders’ meetings; and (d) half or more of the senior management or directors having voting rights. Further to STA Circular 82, the STA issued the Administrative Measures on Income Tax on Overseas Registered Chinese-funded Holding Resident Enterprises (Trial Implementation), or the STA Bulletin 45, which took effect in September 2011 and was last amended in June 2018, to provide more guidance on the implementation of STA Circular 82. STA Bulletin 45 provides for procedures and administration details of determination on resident status and administration on post-determination matters. Our company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and as a result we do not believe our company is a PRC resident enterprise for PRC tax purposes. For similar reasons, we believe our other entities outside of China are also not PRC resident enterprises.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our Cayman Islands holding company is a PRC resident enterprise for PRC enterprise income tax purposes, a number of unfavorable PRC tax consequences could follow. For example, a 10%</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withholding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9" w:name="page190"/>
    <w:bookmarkEnd w:id="1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tax would be imposed on dividends we pay to our non-PRC enterprise shareholders (including ADS holders), if such shareholders do not have an establishment or place of business in the PRC, or if they have such establishment or place of business in the PRC but the relevant income is not effectively connected with such establishment or place of business, to the extent such dividends have their sources within the PRC. In addition, non-resident enterprise shareholders (including ADS holders) may be generally subject to PRC tax on gains realized on the sale or other disposition of ADSs or Class A ordinary shares, if such income is treated as sourced from within the PRC. Furthermore, if we are deemed a PRC resident enterprise, dividends paid to our non-PRC individual shareholders (including ADS holders) and any gain realized on the transfer of ADSs or Class A ordinary shares by such shareholders may be subject to PRC tax at a rate of 20% (which, in the case of dividends, may be withheld at source by us, if such gains are deemed to be from PRC source). These rates may be generally reduced by an applicable tax treaty, but it is unclear whether in practice non-PRC shareholders of our company would be able to obtain the benefits of any tax treaties between their country of tax residence and the PRC in the event that we are treated as a PRC resident enterprise.</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62"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following are material U.S. federal income tax consequences to you of the ownership and disposition of the ADSs or Class A ordinary shares, but this discussion does not purport to be a comprehensive description of all of the tax considerations that may be relevant to your decision to own the ADSs or Class A ordinary shares.</w:t>
      </w:r>
    </w:p>
    <w:p>
      <w:pPr>
        <w:spacing w:after="0" w:line="323"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This discussion applies to you only if you are a U.S. Holder, you acquire the ADSs in this offering and you hold the ADSs or underlying Class A ordinary shares as capital assets for U.S. federal income tax purposes. In addition, it does not describe all of the tax consequences that may be relevant in light of your particular circumstances, including the alternative minimum tax, the Medicare contribution tax on net investment income and tax consequences applicable to you if you are subject to special rules, such as if you are:</w:t>
      </w:r>
    </w:p>
    <w:p>
      <w:pPr>
        <w:spacing w:after="0" w:line="284" w:lineRule="exact"/>
        <w:rPr>
          <w:sz w:val="20"/>
          <w:szCs w:val="20"/>
          <w:color w:val="auto"/>
        </w:rPr>
      </w:pPr>
    </w:p>
    <w:p>
      <w:pPr>
        <w:ind w:left="1800" w:hanging="180"/>
        <w:spacing w:after="0"/>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electing trader in securities that uses a mark-to-market method of tax accounting;</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holds ADSs or Class A ordinary shares as part of a straddle, integrated or similar transaction;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for U.S. federal income tax purposes is not the U.S. dollar;</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classified as a partnership for U.S. federal income tax purposes or a partner or member thereof;</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 “individual retirement account” or “Roth IRA”;</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owns or is deemed to own ADSs or Class A ordinary shares representing 10% or more of our stock by vote or value; or</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holds ADSs or Class A ordinary shares in connection with a trade or business outside the United States.</w:t>
      </w:r>
    </w:p>
    <w:p>
      <w:pPr>
        <w:spacing w:after="0" w:line="81"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If you are a partnership (or other entity classified as a partnership for U.S. federal income tax purposes) that owns ADSs or Class A ordinary shares, the U.S. federal income tax treatment of your partners will generally depend on their status and your activities. If you are a partnership that intends to acquire the ADSs or Class A ordinary shares you should consult your tax adviser as to the particular U.S. federal income tax consequences to you and your partners of owning and disposing of the ADSs or Class A ordinary shares.</w:t>
      </w:r>
    </w:p>
    <w:p>
      <w:pPr>
        <w:spacing w:after="0" w:line="33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administrative pronouncements, judicial decisions, final, temporary and proposed Treasury regulations, and the Agreement Between the Government of the United States of America and the Government of the People’s Republic of China for the Avoidance of Double Taxation and the Prevention of Tax Evasion with Respect to Taxes on Income (the “</w:t>
      </w:r>
      <w:r>
        <w:rPr>
          <w:rFonts w:ascii="Times New Roman" w:cs="Times New Roman" w:eastAsia="Times New Roman" w:hAnsi="Times New Roman"/>
          <w:sz w:val="18"/>
          <w:szCs w:val="18"/>
          <w:b w:val="1"/>
          <w:bCs w:val="1"/>
          <w:color w:val="auto"/>
        </w:rPr>
        <w:t>Treaty</w:t>
      </w:r>
      <w:r>
        <w:rPr>
          <w:rFonts w:ascii="Times New Roman" w:cs="Times New Roman" w:eastAsia="Times New Roman" w:hAnsi="Times New Roman"/>
          <w:sz w:val="18"/>
          <w:szCs w:val="18"/>
          <w:color w:val="auto"/>
        </w:rPr>
        <w:t>”), all as of the date hereof, any of which is subject to change, possibly with retroactive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0" w:name="page191"/>
    <w:bookmarkEnd w:id="1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effect. This discussion assumes that each obligation under the deposit agreement and any related agreement will be performed in accordance with its terms.</w:t>
      </w:r>
    </w:p>
    <w:p>
      <w:pPr>
        <w:spacing w:after="0" w:line="81"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you are a “U.S. Holder” if you are, for U.S. federal income tax purposes, a beneficial owner of the ADSs or Class A ordinary shares and:</w:t>
      </w:r>
    </w:p>
    <w:p>
      <w:pPr>
        <w:spacing w:after="0" w:line="54" w:lineRule="exact"/>
        <w:rPr>
          <w:sz w:val="20"/>
          <w:szCs w:val="20"/>
          <w:color w:val="auto"/>
        </w:rPr>
      </w:pPr>
    </w:p>
    <w:p>
      <w:pPr>
        <w:ind w:left="1800" w:hanging="180"/>
        <w:spacing w:after="0"/>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40"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355"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In general, if you own the ADSs you will be treated as the owner of the underlying Class A ordinary shares represented by those ADSs for U.S. federal income tax purposes. Accordingly, no gain or loss will be recognized if you exchange your ADSs for the underlying Class A ordinary shares represented by those ADSs.</w:t>
      </w:r>
    </w:p>
    <w:p>
      <w:pPr>
        <w:spacing w:after="0" w:line="323"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This discussion does not address the effects of any state, local or non-U.S. tax laws, or any U.S. federal taxes other than income taxes (such as U.S. federal estate or gift tax consequences). You should consult your tax adviser concerning the U.S. federal, state, local and non-U.S. tax consequences of owning and disposing of the ADSs or Class A ordinary shares in your particular circumstances.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60"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The following discussion is subject to the discussion under “— </w:t>
      </w:r>
      <w:r>
        <w:rPr>
          <w:rFonts w:ascii="Times New Roman" w:cs="Times New Roman" w:eastAsia="Times New Roman" w:hAnsi="Times New Roman"/>
          <w:sz w:val="18"/>
          <w:szCs w:val="18"/>
          <w:i w:val="1"/>
          <w:iCs w:val="1"/>
          <w:color w:val="auto"/>
        </w:rPr>
        <w:t>Passive Foreign Investment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Rules</w:t>
      </w:r>
      <w:r>
        <w:rPr>
          <w:rFonts w:ascii="Times New Roman" w:cs="Times New Roman" w:eastAsia="Times New Roman" w:hAnsi="Times New Roman"/>
          <w:sz w:val="18"/>
          <w:szCs w:val="18"/>
          <w:color w:val="auto"/>
        </w:rPr>
        <w:t>” below.</w:t>
      </w:r>
    </w:p>
    <w:p>
      <w:pPr>
        <w:spacing w:after="0" w:line="93"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currently do not intend to make distributions to our shareholders or ADS holders. Any distributions paid on the ADSs or Class A ordinary shares, other than certain pro rata distributions of ADSs or Class A ordinary shares, will be treated as dividends to the extent paid out of our current or accumulated earnings and profits, as determined under U.S. federal income tax principles. Because we do not maintain calculations of our earnings and profits under U.S. federal income tax, it is expected that distributions generally will be reported to you as dividends. Dividends will not be eligible for a dividends received deduction. Because the ADSs are expected to be listed on Nasdaq, if you are a non-corporate U.S. Holder of ADSs, subject to applicable limitations, dividends paid to you with respect to your ADSs may be taxable at a favorable rate provided that we are not (and are not treated with respect to you as) a passive foreign investment company (a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for our taxable year of the distribution or the preceding taxable year. If you are a non-corporate U.S. Holder you should consult your tax adviser regarding the availability of this favorable tax rate and any applicable limitations in your particular circumstances.</w:t>
      </w:r>
    </w:p>
    <w:p>
      <w:pPr>
        <w:spacing w:after="0" w:line="11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Dividends generally will be included in your income on the date of receipt by you (in the case of Class A ordinary shares) or by the depositary (in the case of ADSs). The amount of income with respect to a dividend paid in foreign currency will be the U.S. dollar amount calculated by reference to the spot rate in effect on the date of receipt, regardless of whether the payment is in fact converted into U.S. dollars on that date. If the dividend is converted into U.S. dollars on the date of receipt, you generally should not be required to recognize foreign currency gain or loss in respect of the amount received. You may have foreign currency gain or loss if the dividend is converted into U.S. dollars after the date of receipt.</w:t>
      </w:r>
    </w:p>
    <w:p>
      <w:pPr>
        <w:spacing w:after="0" w:line="114" w:lineRule="exact"/>
        <w:rPr>
          <w:sz w:val="20"/>
          <w:szCs w:val="20"/>
          <w:color w:val="auto"/>
        </w:rPr>
      </w:pPr>
    </w:p>
    <w:p>
      <w:pPr>
        <w:jc w:val="both"/>
        <w:ind w:left="1260" w:right="379" w:firstLine="360"/>
        <w:spacing w:after="0" w:line="242" w:lineRule="auto"/>
        <w:rPr>
          <w:sz w:val="20"/>
          <w:szCs w:val="20"/>
          <w:color w:val="auto"/>
        </w:rPr>
      </w:pPr>
      <w:r>
        <w:rPr>
          <w:rFonts w:ascii="Times New Roman" w:cs="Times New Roman" w:eastAsia="Times New Roman" w:hAnsi="Times New Roman"/>
          <w:sz w:val="18"/>
          <w:szCs w:val="18"/>
          <w:color w:val="auto"/>
        </w:rPr>
        <w:t>Dividends will be treated as foreign-source income for foreign tax credit purposes. As described in “—​ People’s Republic of China Taxation,” dividends paid by us may be subject to PRC withholding tax. For U.S. federal income tax purposes, the amount of the dividend income will include any amounts withheld in respect of PRC withholding tax. Subject to applicable limitations, which vary depending upon your circumstances, and the discussion below regarding certain Treasury regulations, PRC taxes withheld from dividend payments (at a rate not exceeding any rate applicable under the Treaty, if you are eligible for Treaty benefits) generally will be creditable against your U.S. federal income tax liability. The rules governing foreign tax credits are complex. For example, Treasury regulations provide that, in the absence of an election to apply the benefits of an applicable income tax treaty, in order for non -U.S. income taxes to be creditable, the relevant non- U.S. income tax rules must be consistent with certain U.S. federal income tax principles, and we have not determined whether the PRC income tax system meets this requirement. The U.S.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has released notices that provide relief from certain of the provisions of the Treasury regulations described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1" w:name="page192"/>
    <w:bookmarkEnd w:id="1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above for taxable years ending before the date that a notice or other guidance withdrawing or modifying the temporary relief is issued (or any later date specified in such notice or other guidance). You should consult your tax adviser regarding the creditability of non-U.S. taxes in your particular circumstances. In lieu of claiming a credit, you may be able to elect to deduct creditable PRC taxes in computing your taxable income, subject to applicable limitations. An election to deduct non-U.S. taxes instead of claiming foreign tax credits applies to all creditable non-U.S. taxes paid or accrued in the relevant taxable year.</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ADSs or Class A Ordinary Shares</w:t>
      </w:r>
    </w:p>
    <w:p>
      <w:pPr>
        <w:spacing w:after="0" w:line="160"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The following discussion is subject to the discussion under “— </w:t>
      </w:r>
      <w:r>
        <w:rPr>
          <w:rFonts w:ascii="Times New Roman" w:cs="Times New Roman" w:eastAsia="Times New Roman" w:hAnsi="Times New Roman"/>
          <w:sz w:val="18"/>
          <w:szCs w:val="18"/>
          <w:i w:val="1"/>
          <w:iCs w:val="1"/>
          <w:color w:val="auto"/>
        </w:rPr>
        <w:t>Passive Foreign Investment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Rules</w:t>
      </w:r>
      <w:r>
        <w:rPr>
          <w:rFonts w:ascii="Times New Roman" w:cs="Times New Roman" w:eastAsia="Times New Roman" w:hAnsi="Times New Roman"/>
          <w:sz w:val="18"/>
          <w:szCs w:val="18"/>
          <w:color w:val="auto"/>
        </w:rPr>
        <w:t>” below.</w:t>
      </w:r>
    </w:p>
    <w:p>
      <w:pPr>
        <w:spacing w:after="0" w:line="93"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You will generally recognize capital gain or loss on a sale or other taxable disposition of ADSs or Class A ordinary shares in an amount equal to the difference between the amount realized on the sale or disposition and your tax basis in the ADSs or Class A ordinary shares disposed of, in each case as determined in U.S. dollars. The gain or loss will be long-term capital gain or loss if, at the time of the sale or disposition, you have owned the ADSs or Class A ordinary shares for more than one year. If you are a non-corporate U.S. Holder, any long-term capital gains recognized by you will generally be subject to tax rates that are lower than those applicable to ordinary income. The deductibility of capital losses is subject to limitations.</w:t>
      </w:r>
    </w:p>
    <w:p>
      <w:pPr>
        <w:spacing w:after="0" w:line="324"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As described in “— People’s Republic of China Taxation,” gains on the sale of ADSs or Class A ordinary shares may be subject to PRC taxes. Under the Code, capital gains of U.S. persons are generally treated as U.S.-source income. However, if you are eligible for the benefits of the Treaty, you may be able to elect to treat the gain as foreign-source income under the Treaty and claim foreign tax credits in respect of any PRC tax on a disposition. Treasury regulations generally preclude you from claiming a foreign tax credit with respect to PRC income taxes imposed on gains from dispositions of ADSs or Class A ordinary shares unless you are eligible for Treaty benefits and elect to apply them. However, as discussed above under “— Taxation of Distributions,” the IRS has released notices that provide relief from certain of the provisions of these Treasury regulations (including the limitation described in the preceding sentence) for taxable years ending before the date that a notice or other guidance withdrawing or modifying the temporary relief is issued (or any later date specified in such notice or other guidance). However, even if these Treasury regulations do not prohibit you from claiming a foreign tax credit with respect to PRC taxes on disposition gains, other limitations under the foreign tax credit rules may preclude you from claiming a foreign tax credit with respect to PRC income taxes on disposition gains. If you are precluded from claiming a foreign tax credit, it is possible that any PRC taxes on disposition gains may either be deductible or reduce the amount realized on the disposition. The rules governing foreign tax credits and the deductibility of foreign taxes are complex. You should consult your tax adviser regarding your eligibility for the benefits of the Treaty and the creditability or deductibility of any PRC tax on disposition gains in your particular circumstances, including the Treaty’s resourcing rule, any reporting requirements with respect to a Treaty-based return position and any applicable limitations.</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6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general, a non-U.S. corporation is a PFIC for U.S. federal income tax purposes for any taxable year in which (i) 75% or more of its gross income consists of passive income or (ii) 50% or more of the average value of its assets (generally determined on a quarterly basis) consists of assets that produce, or are held for the production of, passive income. For purposes of the above calculations, a non-U.S. corporation that owns, directly or indirectly, at least 25% by value of the shares of another corporation is treated as if it directly held its proportionate share of the assets of the other corporation and directly earned its proportionate share of the income of the other corporation. Passive income generally includes dividends, interest, investment gains and certain rents and royalties (except for certain rents and royalties treated as derived in the active conduct of a trade or business for purposes of the PFIC rules). Cash and cash-equivalents are passive assets for these purposes. Goodwill is an active asset under the PFIC rules to the extent attributable to activities that produce active income.</w:t>
      </w:r>
    </w:p>
    <w:p>
      <w:pPr>
        <w:spacing w:after="0" w:line="329"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Based on (i) the current and expected composition of our income and assets, (ii) our characterization of certain categories of our income and assets as active income and assets for purposes of the PFIC rules and</w:t>
      </w:r>
    </w:p>
    <w:p>
      <w:pPr>
        <w:jc w:val="both"/>
        <w:ind w:left="1260" w:right="419"/>
        <w:spacing w:after="0"/>
        <w:tabs>
          <w:tab w:leader="none" w:pos="159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values of our assets, including the estimated value of our goodwill and certain other intangibles, which is based in large part on the expected price of the ADSs in this offering, we do not expect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2" w:name="page193"/>
    <w:bookmarkEnd w:id="1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be a PFIC for our current taxable year. However, our PFIC status for any taxable year is an annual determination that can be made only after the end of that year and will depend on the composition and characterization, for PFIC purposes, of our income and assets and the estimated value of our assets from time to time. Because we will hold a substantial amount of cash following this offering, we may be or become a PFIC for any taxable year if the value of our goodwill and other intangible assets that we believe should be treated as active assets are determined by reference to our market capitalization and our market capitalization fluctuates or declines after this offering. In addition, the IRS may not agree with our characterizations of certain categories of our income and assets as active income and assets for PFIC purposes. Accordingly, there can be no assurance that we will not be a PFIC for our current or any future taxable year. We have not sought or obtained, and do not intend to seek or obtain, an opinion of U.S. tax counsel on the characterization of our income and assets for PFIC rules, and, because PFIC status is an annual determination that can be made only after the end of each year, our U.S. tax counsel is unable to opine on our PFIC status for the current or any future taxable year.</w:t>
      </w:r>
    </w:p>
    <w:p>
      <w:pPr>
        <w:spacing w:after="0" w:line="330"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If we are a PFIC for any taxable year and any entity in which we own or are deemed to own equity interests is also a PFIC (a “</w:t>
      </w:r>
      <w:r>
        <w:rPr>
          <w:rFonts w:ascii="Times New Roman" w:cs="Times New Roman" w:eastAsia="Times New Roman" w:hAnsi="Times New Roman"/>
          <w:sz w:val="18"/>
          <w:szCs w:val="18"/>
          <w:b w:val="1"/>
          <w:bCs w:val="1"/>
          <w:color w:val="auto"/>
        </w:rPr>
        <w:t>Lower-tier PFIC</w:t>
      </w:r>
      <w:r>
        <w:rPr>
          <w:rFonts w:ascii="Times New Roman" w:cs="Times New Roman" w:eastAsia="Times New Roman" w:hAnsi="Times New Roman"/>
          <w:sz w:val="18"/>
          <w:szCs w:val="18"/>
          <w:color w:val="auto"/>
        </w:rPr>
        <w:t>”), you will be deemed to own a proportionate amount (by value) of the shares of each Lower-tier PFIC and will be subject to U.S. federal income tax according to the rules described in the next paragraph on (i) certain distributions by the Lower-tier PFIC and (ii) dispositions of shares of the Lower- tier PFIC, in each case as if you held such shares directly, even though you will not receive any proceeds of those distributions or dispositions.</w:t>
      </w:r>
    </w:p>
    <w:p>
      <w:pPr>
        <w:spacing w:after="0" w:line="112"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general, if we are a PFIC for any taxable year during which you own the ADSs or Class A ordinary shares, gain recognized by you on a sale or other disposition (including certain pledges) of your ADSs or Class A ordinary shares will be allocated ratably over your holding period. The amounts allocated to the taxable year of the sale or disposition and to any year before we became a PFIC will be taxed as ordinary income. The amount allocated to each other taxable year will be subject to tax at the highest rate in effect for individuals or corporations, as appropriate, for that taxable year, and an interest charge will be imposed on the resulting tax liability for each such year. Furthermore, to the extent that distributions received by you in any taxable year on your ADSs or Class A ordinary shares exceed 125% of the average of the annual distributions on the ADSs or Class A ordinary shares received during the preceding three taxable years or your holding period, whichever is shorter, the excess distributions will be subject to taxation in the same manner. If we are a PFIC for any taxable year during which you own ADSs or Class A ordinary shares, we will generally continue to be treated as a PFIC with respect to you for all succeeding years during which you own the ADSs or Class A ordinary shares, even if we cease to meet the threshold requirements for PFIC status, unless you make a timely “deemed sale” election, in which case any gain on the deemed sale will be taxed under the PFIC rules described above.</w:t>
      </w:r>
    </w:p>
    <w:p>
      <w:pPr>
        <w:spacing w:after="0" w:line="330"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Alternatively, if we are a PFIC and if the ADSs are “regularly traded” on a “qualified exchange” ​(as defined in applicable Treasury regulations), you may be able to make a mark-to-market election with respect to the ADSs that will result in tax treatment different from the general tax treatment for PFICs described in the preceding paragraph. The ADSs will be treated as regularly traded for any calendar year in which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quantity of the ADSs are traded on a qualified exchange on at least 15 days during each calendar quarter. Nasdaq, where the ADSs are expected to be listed, is a qualified exchange for this purpose. If you are a U.S. Holder of ADSs and make the mark-to-market election, you generally will recognize as ordinary income any excess of the fair market value of the ADSs at the end of each taxable year over their adjusted tax basis, and will recognize an ordinary loss in respect of any excess of the adjusted tax basis of the ADSs over their fair market value at the end of the taxable year to the extent of the net amount of income previously included as a result of the mark-to- market election. If you make the election, your tax basis in the ADSs will be adjusted to reflect the income or loss amounts recognized. Any gain recognized on the sale or other disposition of ADSs in a taxable year in which we are a PFIC will be treated as ordinary income and any loss will be treated as an ordinary loss (but only to the extent of the net amount of income previously included as a result of the mark-to-market election, with any excess treated as capital loss). If you make the mark-to-market election, distributions paid on ADSs will be treated as discussed under “— Taxation of Distributions” above (but subject to the discussion in the following paragraph). Once made, the election will remain in effect for all taxable years in which we are a PFIC, unless it is revoked with the IRS’s consent, or the ADSs cease to be regularly traded on a qualified exchange. There is no provision of law or official guidance that provides for a right to make a mark-to-market election with respect to any Lower-tier PFIC unless the shares of such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3" w:name="page194"/>
    <w:bookmarkEnd w:id="1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Lower-tier PFIC are themselves “marketable.” As a result, if you make a mark-to-market election with respect to the ADSs, you could nevertheless be subject to the PFIC rules described in the preceding paragraph with respect to your indirect interest in any Lower-tier PFIC. You should consult your tax adviser regarding the availability and advisability of making a mark-to-market election in your particular circumstances if we are a PFIC for any taxable year.</w:t>
      </w:r>
    </w:p>
    <w:p>
      <w:pPr>
        <w:spacing w:after="0" w:line="116"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 we are a PFIC (or treated as a PFIC with respect to you) for any taxable year in which we pay a dividend or the preceding taxable year, the favorable tax rate described above with respect to dividends paid to certain non-corporate U.S. Holders will not apply.</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do not intend to provide information necessary to make “qualified electing fund” elections which, if available, would result in tax treatment different from the general tax treatment for PFICs described above. Therefore, you will not be able to make this election with respect to us.</w:t>
      </w:r>
    </w:p>
    <w:p>
      <w:pPr>
        <w:spacing w:after="0" w:line="95"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you own ADSs or Class A ordinary shares, you will generally be required to file annual reports on IRS Form 8621. You should consult your tax adviser regarding our PFIC status for any taxable year and the potential application of the PFIC rules to your ownership of ADSs or Class A ordinary shares.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Payments of dividends and sales proceeds that are made within the United States or through certain U.S.-related financial intermediaries may be subject to information reporting and backup withholding, unless (i) you are a corporation or other “exempt recipient” (and​ establish your status if required to do so) and (ii) in the case of backup withholding, you provide a correct taxpayer identification number and certify that you are not subject to backup withholding or otherwise establish an exemption. The amount of any backup withholding from a payment to you will be allowed as a credit against your U.S. federal income tax liability and may entitle you to a refund,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required information is timely furnished to the IRS.</w:t>
      </w:r>
    </w:p>
    <w:p>
      <w:pPr>
        <w:spacing w:after="0" w:line="337"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If you are an individual or one of certain specified entities, you may be required to report information relating to your ownership of ADSs or Class A ordinary shares, or non-U.S. accounts through which your ADSs or Class A ordinary shares are held. You should consult your tax adviser regarding your reporting obligations with respect to the ADSs and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4" w:name="page195"/>
    <w:bookmarkEnd w:id="1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Citigroup Global Markets Inc., Morgan Stanley Asia Limited and Deutsche Bank AG, Hong Kong Branch are acting as the representatives, have severally agreed to purchase, and we have agreed to sell to them, severally, the number of ADSs indicated below:</w:t>
      </w:r>
    </w:p>
    <w:p>
      <w:pPr>
        <w:spacing w:after="0" w:line="3" w:lineRule="exact"/>
        <w:rPr>
          <w:sz w:val="20"/>
          <w:szCs w:val="20"/>
          <w:color w:val="auto"/>
        </w:rPr>
      </w:pPr>
    </w:p>
    <w:tbl>
      <w:tblPr>
        <w:tblLayout w:type="fixed"/>
        <w:tblInd w:w="1260" w:type="dxa"/>
        <w:tblCellMar>
          <w:top w:w="0" w:type="dxa"/>
          <w:left w:w="0" w:type="dxa"/>
          <w:bottom w:w="0" w:type="dxa"/>
          <w:right w:w="0" w:type="dxa"/>
        </w:tblCellMar>
      </w:tblPr>
      <w:tr>
        <w:trPr>
          <w:trHeight w:val="364"/>
        </w:trPr>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Number of ADSs </w:t>
            </w:r>
            <w:r>
              <w:rPr>
                <w:rFonts w:ascii="Times New Roman" w:cs="Times New Roman" w:eastAsia="Times New Roman" w:hAnsi="Times New Roman"/>
                <w:sz w:val="28"/>
                <w:szCs w:val="28"/>
                <w:b w:val="1"/>
                <w:bCs w:val="1"/>
                <w:color w:val="auto"/>
                <w:vertAlign w:val="subscript"/>
              </w:rPr>
              <w:t>​</w:t>
            </w:r>
          </w:p>
        </w:tc>
      </w:tr>
      <w:tr>
        <w:trPr>
          <w:trHeight w:val="250"/>
        </w:trPr>
        <w:tc>
          <w:tcPr>
            <w:tcW w:w="6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6,438,507</w:t>
            </w:r>
          </w:p>
        </w:tc>
        <w:tc>
          <w:tcPr>
            <w:tcW w:w="120" w:type="dxa"/>
            <w:vAlign w:val="bottom"/>
            <w:tcBorders>
              <w:top w:val="single" w:sz="8" w:color="auto"/>
            </w:tcBorders>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Asia Limited</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6,292,178</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AG, Hong Kong Branch</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1,170,638</w:t>
            </w:r>
          </w:p>
        </w:tc>
        <w:tc>
          <w:tcPr>
            <w:tcW w:w="1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China International Capital Corporation Hong Kong Securities Limited</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731,649</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Tiger Brokers (NZ) Limited</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Moomoo Financial Inc.</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51,019</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Valuable Capital Limited</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22"/>
                <w:szCs w:val="22"/>
                <w:color w:val="auto"/>
              </w:rPr>
            </w:pPr>
          </w:p>
        </w:tc>
        <w:tc>
          <w:tcPr>
            <w:tcW w:w="800" w:type="dxa"/>
            <w:vAlign w:val="bottom"/>
            <w:tcBorders>
              <w:bottom w:val="single" w:sz="8" w:color="auto"/>
            </w:tcBorders>
            <w:gridSpan w:val="2"/>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​14,683,991</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-1370965</wp:posOffset>
            </wp:positionV>
            <wp:extent cx="13716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5"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The underwriters are obligated to take and pay for all of the ADSs offered by this prospectus (other than those covered by the underwriters’ over-allotment option described below) if any such ADSs are taken. The underwriting agreement also provides that if an underwriter defaults, the purchase commitments of non-defaulting underwriters may be increased or the offering may be terminated.</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underwriters initially propose to offer part of the ADSs directly to the public at the offering price listed on the cover page of this prospectus and part to certain dealers at a price that represents a concession not in excess of US$1.1760 per ADS under the initial public offering price. After the initial offering of the ADSs, the offering price and other selling terms may from time to time be varied by the representatives.</w:t>
      </w:r>
    </w:p>
    <w:p>
      <w:pPr>
        <w:spacing w:after="0" w:line="99"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on a pro rata basis up to additional 2,202,598 ADSs at the initial public offering price listed on the cover page of this prospectus, less underwriting discounts and commissions. The underwriters may exercise this option solely for the purpose of covering over-allotments, if any, made in connection with the offering of the ADSs offered by this prospectus.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w:t>
      </w:r>
    </w:p>
    <w:p>
      <w:pPr>
        <w:spacing w:after="0" w:line="12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Four independent investors have subscribed for, and been allocated by the underwriters an aggregate of 4,850,000 ADSs, including (i) 1,600,000 ADSs allocated to one or more funds managed by affiliates of CDH Investment Management Company Limited, (ii) 1,600,000 ADSs allocated to investment funds and mandates managed or advised by RWC Asset Management LLP and RWC Asset Advisors (US) LLC, (iii) 1,250,000 ADSs allocated to Allianz Global Investors Asia Pacific Ltd. on behalf of the managed funds, and</w:t>
      </w:r>
    </w:p>
    <w:p>
      <w:pPr>
        <w:spacing w:after="0" w:line="3" w:lineRule="exact"/>
        <w:rPr>
          <w:sz w:val="20"/>
          <w:szCs w:val="20"/>
          <w:color w:val="auto"/>
        </w:rPr>
      </w:pPr>
    </w:p>
    <w:p>
      <w:pPr>
        <w:jc w:val="both"/>
        <w:ind w:left="1260" w:right="419"/>
        <w:spacing w:after="0" w:line="252" w:lineRule="auto"/>
        <w:tabs>
          <w:tab w:leader="none" w:pos="161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ADSs allocated to ORIX Asia Asset Management Limited on behalf of the managed fund, collectively representing approximately 33.0% of the ADSs being offered in this offering, assuming the underwriters do not exercise their option to purchase additional ADSs. Their subscriptions for the ADSs are at the initial public offering price and on the same terms as the other ADSs being offered. The underwriters will receive the same underwriting discounts and commissions on any ADSs purchased by these investors as they will on any other ADSs sold to other public investors in this offering. For additional information, see “Underwriting.”</w:t>
      </w: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5" w:name="page196"/>
    <w:bookmarkEnd w:id="1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shows the per ADS and total public offering price, underwriting discounts and commissions, and proceeds before expenses to us. These amounts are shown assuming both no exercise and full exercise of the underwriters’ option to purchase up to an additional 2,202,598 ADSs.</w:t>
      </w:r>
    </w:p>
    <w:p>
      <w:pPr>
        <w:spacing w:after="0" w:line="123"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Without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Without</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 to</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With Option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 to</w:t>
            </w:r>
          </w:p>
        </w:tc>
        <w:tc>
          <w:tcPr>
            <w:tcW w:w="2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 Option</w:t>
            </w:r>
          </w:p>
        </w:tc>
        <w:tc>
          <w:tcPr>
            <w:tcW w:w="60" w:type="dxa"/>
            <w:vAlign w:val="bottom"/>
          </w:tcPr>
          <w:p>
            <w:pPr>
              <w:spacing w:after="0"/>
              <w:rPr>
                <w:sz w:val="14"/>
                <w:szCs w:val="14"/>
                <w:color w:val="auto"/>
              </w:rPr>
            </w:pPr>
          </w:p>
        </w:tc>
      </w:tr>
      <w:tr>
        <w:trPr>
          <w:trHeight w:val="162"/>
        </w:trPr>
        <w:tc>
          <w:tcPr>
            <w:tcW w:w="2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 Purchase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Purchase</w:t>
            </w:r>
          </w:p>
        </w:tc>
        <w:tc>
          <w:tcPr>
            <w:tcW w:w="2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 Purchase</w:t>
            </w:r>
          </w:p>
        </w:tc>
        <w:tc>
          <w:tcPr>
            <w:tcW w:w="60" w:type="dxa"/>
            <w:vAlign w:val="bottom"/>
          </w:tcPr>
          <w:p>
            <w:pPr>
              <w:spacing w:after="0"/>
              <w:rPr>
                <w:sz w:val="14"/>
                <w:szCs w:val="14"/>
                <w:color w:val="auto"/>
              </w:rPr>
            </w:pPr>
          </w:p>
        </w:tc>
      </w:tr>
      <w:tr>
        <w:trPr>
          <w:trHeight w:val="162"/>
        </w:trPr>
        <w:tc>
          <w:tcPr>
            <w:tcW w:w="2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4"/>
                <w:szCs w:val="14"/>
                <w:color w:val="auto"/>
              </w:rPr>
            </w:pPr>
          </w:p>
        </w:tc>
      </w:tr>
      <w:tr>
        <w:trPr>
          <w:trHeight w:val="214"/>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ADSs</w:t>
            </w:r>
          </w:p>
        </w:tc>
        <w:tc>
          <w:tcPr>
            <w:tcW w:w="100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ADSs</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ADSs</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ADSs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740" w:type="dxa"/>
            <w:vAlign w:val="bottom"/>
            <w:shd w:val="clear" w:color="auto" w:fill="CCEEFF"/>
          </w:tcPr>
          <w:p>
            <w:pPr>
              <w:spacing w:after="0" w:line="20" w:lineRule="exact"/>
              <w:rPr>
                <w:sz w:val="1"/>
                <w:szCs w:val="1"/>
                <w:color w:val="auto"/>
              </w:rPr>
            </w:pPr>
          </w:p>
        </w:tc>
        <w:tc>
          <w:tcPr>
            <w:tcW w:w="500" w:type="dxa"/>
            <w:vAlign w:val="bottom"/>
            <w:gridSpan w:val="2"/>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​US$28.00</w:t>
            </w:r>
          </w:p>
        </w:tc>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US$28.00</w:t>
            </w:r>
          </w:p>
        </w:tc>
        <w:tc>
          <w:tcPr>
            <w:tcW w:w="15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US$411,151,748</w:t>
            </w:r>
          </w:p>
        </w:tc>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​US$     472,824,482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 paid by us</w:t>
            </w:r>
          </w:p>
        </w:tc>
        <w:tc>
          <w:tcPr>
            <w:tcW w:w="12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​US$  1.96</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US$  1.96</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​US$  28,780,622</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  33,097,714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​US$26.04</w:t>
            </w:r>
          </w:p>
        </w:tc>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US$26.04</w:t>
            </w:r>
          </w:p>
        </w:tc>
        <w:tc>
          <w:tcPr>
            <w:tcW w:w="15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​US$382,371,126</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US$439,726,768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4923155</wp:posOffset>
            </wp:positionH>
            <wp:positionV relativeFrom="paragraph">
              <wp:posOffset>-624840</wp:posOffset>
            </wp:positionV>
            <wp:extent cx="1371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-624840</wp:posOffset>
            </wp:positionV>
            <wp:extent cx="13716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-624840</wp:posOffset>
            </wp:positionV>
            <wp:extent cx="26746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97"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US$6.8 million. We have agreed to reimburse the underwriters for certain of their expenses in an amount $620,000. The underwriters have agreed to reimburse us for US$2.5 million of our expenses in connection with the offering.</w:t>
      </w:r>
    </w:p>
    <w:p>
      <w:pPr>
        <w:spacing w:after="0" w:line="11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ADSs offered by them.</w:t>
      </w:r>
    </w:p>
    <w:p>
      <w:pPr>
        <w:spacing w:after="0" w:line="95"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Certain of the underwriters are expected to make offers and sales both inside and outside the United States through their respective selling agents. Any offers or sales in the United States will be conducted by broker-dealers registered with the SEC. Morgan Stanley Asia Limited is not a broker-dealer registered with the SEC, and, to the extent that its conduct may be deemed to involve participation in offers or sales of the ADSs in the United States, those offers or sales will be made through one or more SEC-registered broker-dealers in compliance with applicable laws and regulations. Deutsche Bank AG, Hong Kong Branch will offer ADSs in the United States through its SEC-registered broker-dealer affiliate in the United States, Deutsche Bank Securities Inc. China International Capital Corporation Hong Kong Securities Limited is not a broker-dealer registered with the SEC and, to the extent that its conduct may be deemed to involve participation in offers or sales of ADSs in the United States, those offers or sales will be made through one or more SEC-registered broker-dealers in compliance with the applicable laws and regulations. Tiger Brokers (NZ) Limited is not a broker-dealer registered with the SEC and, to the extent that its conduct may be deemed to involve participation in offers or sales of ADSs in the United States, those offers or sales will be made through one or more SEC-registered broker-dealers in compliance with applicable laws and regulations. Valuable Capital Limited will not make any offers or sales of the Class A ordinary shares within the United States.</w:t>
      </w:r>
    </w:p>
    <w:p>
      <w:pPr>
        <w:spacing w:after="0" w:line="325"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address of Citigroup Global Markets Inc. is 388 Greenwich Street, New York, NY 10013, United States of America. The address of Morgan Stanley Asia Limited is Level 46, International Commerce Centre, 1 Austin Road West, Kowloon, Hong Kong. The address of Deutsche Bank AG, Hong Kong Branch is 60/F, International Commerce Centre, 1 Austin Road West, Kowloon, Hong Kong. The address of China International Capital Corporation Hong Kong Securities Limited is 29/F, One International Finance Center, 1 Harbor View Street, Central, Hong Kong. The address of Tiger Brokers (NZ) Limited is Level 16, 191 Queen Street, Auckland Central, New Zealand, 1010. The address of Moomoo Financial Inc. is 185 Hudson ST, 5 Harborside, Suite 2603, Jersey City, NJ 07311, USA. The address of Valuable Capital Limited is RM 3601-06 &amp; 3617-19, 36/F, China Merchants Tower, Shun Tak Centre, 168-200 Connaught Road Central, Hong Kong.</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have been approved to list the ADSs on Nasdaq Global Select Market under the trading symbol “CHA.”</w:t>
      </w:r>
    </w:p>
    <w:p>
      <w:pPr>
        <w:spacing w:after="0" w:line="200" w:lineRule="exact"/>
        <w:rPr>
          <w:sz w:val="20"/>
          <w:szCs w:val="20"/>
          <w:color w:val="auto"/>
        </w:rPr>
      </w:pP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Lock-Up Arrangements</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have agreed that, without the prior written consent of the representatives and subject to certain exceptions, we will not, during the period ending 180 days after the date of this prospectus, (i) offer, pledge,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6" w:name="page197"/>
    <w:bookmarkEnd w:id="1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sell, contract to sell, sell any option or contract to purchase, purchase any option or contract to sell, grant any option, right or warrant to purchase, lend, or otherwise transfer or dispose of, directly or indirectly, any ordinary shares or ADSs of the Company beneficially owned (as such term is used in Rule 13d-3 of the Exchange Act) by us or our affiliates, or any shareholder's rights associated with such ordinary shares or ADSs beneficially owned, or any securities convertible into or exercisable or exchangeable for ordinary shares or ADSs of the Company (collectively, the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or (ii) enter into any swap or other arrangement that transfers to another, in whole or in part, any of the economic consequences of ownership of the Restricted Securities, whether any such transaction described in clause (i) or (ii) above is to be settled by delivery of ordinary shares, ADSs or such other securities, in cash or otherwise, or (iii) file any registration statement with the SEC relating to the offering of any Restricted Securities (other than registration statement(s) on Form S-8).</w:t>
      </w:r>
    </w:p>
    <w:p>
      <w:pPr>
        <w:spacing w:after="0" w:line="343"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Each of our directors, executive officers and existing shareholders has agreed that, without the prior written consent of the representatives and subject to certain exceptions, it will not, during the period ending 180 days after the date of this prospectus, (i) offer, sell, contract to sell, sell any option or contract to purchase, purchase any option or contract to sell, grant any option, right or warrant to purchase, lend, or otherwise transfer or dispose of, directly or indirectly, any ordinary shares or ADSs of the Company, or any other securities so owned convertible into or exercisable or exchangeable for any ordinary shares or ADSs of the Company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beneficially owned (as such term is used in Rule 13d-3 of the Exchange Act), by such director, executive officers and existing shareholders, (ii) enter into any swap or other arrangement that transfers to another, in whole or in part, any of the economic consequences of ownership of the Securities, whether any such transaction described in clause (i) or (ii) above is to be settled by delivery of the Securities or such other securities, in cash or otherwise, (iii) make any demand for or exercise any right with respect to the registration of any Securities, or (iv) publicly disclose the intention to do any of the foregoing.</w:t>
      </w:r>
    </w:p>
    <w:p>
      <w:pPr>
        <w:spacing w:after="0" w:line="33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 addition, through a letter agreement, we will instruct The Bank of New York Mellon, as depositary, not to accept any deposit of any Class A ordinary shares or deliver any ADSs until after 180 days following the date of this prospectus unless we consent to such deposit or issuance. We will not provide such consent without the prior written consent of the representatives.</w:t>
      </w:r>
    </w:p>
    <w:p>
      <w:pPr>
        <w:spacing w:after="0" w:line="9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representatives, in their sole discretion, may release the ordinary shares, ADSs and other securities subject to the lock-up agreements described above in whole or in part at any time.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Stabilization, Short Positions and Penalty Bids</w:t>
      </w:r>
    </w:p>
    <w:p>
      <w:pPr>
        <w:spacing w:after="0" w:line="162"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ADSs in the open market. These transactions may include short sales in accordance with Regulation M under the Exchange Act, stabilizing transactions and purchases to cover positions created by short sales. Short sales involve the sale by the underwriters of a greater number of ADSs than they are required to purchase in the offering. “Covered” short sales are sales made in an amount not greater than the underwriters’ option to purchase additional ADSs in the offering. The underwriters may close out any covered short position by either exercising their option to purchase additional ADSs or purchasing ADSs in the open market. In determining the source of ADSs to close out the covered short position, the underwriters will consider, among other things, the price of ADSs available for purchase in the open market as compared to the price at which they may purchase additional ADSs pursuant to the option granted to them. “Naked” short sales are any sales in excess of such option.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the offering. Stabilizing transactions consist of various bids for, or purchases of, ADSs made by the underwriters in the open market prior to the completion of the offering.</w:t>
      </w:r>
    </w:p>
    <w:p>
      <w:pPr>
        <w:spacing w:after="0" w:line="12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the ADSs, and may stabilize, maintain or otherwise affect the market price of the ADSs. As a result, the price of the ADSs may be higher than the price that otherwise might exist in the open market. If these activities are commenced, they are required to be conducted in accordance with applicable laws and</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7" w:name="page198"/>
    <w:bookmarkEnd w:id="1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regulations, and they may be discontinued at any time without notice. These transactions may be effected on Nasdaq Global Select Market, the over-the-counter market or otherwise.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have agreed to indemnify underwriters against certain liabilities, including liabilities under the Securities Act, or to contribute to payments the underwriters may be required to make in respect of those liabilities.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and one or more of the underwriters participating in this offering may distribute prospectuses electronically.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48"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2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consumers and may at any time hold long and short positions in such securities and instruments. Such investment and securities activities may involve securities and/or instruments of ours or our affiliates.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ordinary shares or ADSs.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businesses similar to ours.</w:t>
      </w:r>
    </w:p>
    <w:p>
      <w:pPr>
        <w:spacing w:after="0" w:line="106"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cannot assure you that the initial public offering price will correspond to the price at which our ordinary shares or ADSs will trade in the public market subsequent to this offering or that an active trading market for our ordinary shares or ADSs will develop and continue after this offering.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No action may be taken in any jurisdiction other than the United States that would permit a public offering of the ADSs or the possession, circulation or distribution of this prospectus in any jurisdiction where action for that purpose is required. Accordingly, the ADSs may not be offered or sold, directly or indirectly, and neither the prospectus nor any other offering material or advertisements in connection with the ADSs may be distributed or published in or from any country or jurisdiction except under circumstances that will result in compliance with any applicable laws, rules and regulations of any such country or jurisdiction.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8" w:name="page199"/>
    <w:bookmarkEnd w:id="1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62"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3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Any offer in Australia of the ADSs may only be made to persons, or the Exempt Investors, who are</w:t>
      </w:r>
    </w:p>
    <w:p>
      <w:pPr>
        <w:spacing w:after="0" w:line="27"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“sophisticated investors” (within​ the meaning of section 708(8) of the Corporations Act), “professional investor” ​(within the meaning of section 708(11) of the Corporations Act) or otherwise pursuant to one or more exemptions contained in section 708 of the Corporations Act so that it is lawful to offer the ADSs without disclosure to investors under Chapter 6D of the Corporations Act.</w:t>
      </w:r>
    </w:p>
    <w:p>
      <w:pPr>
        <w:spacing w:after="0" w:line="108"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w:t>
      </w:r>
    </w:p>
    <w:p>
      <w:pPr>
        <w:spacing w:after="0" w:line="12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Bahamas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ADSs may not be offered or sold in The Bahamas via a public offer. ADSs may not be offered or sold or otherwise disposed of in any way to any person(s) deemed “resident” for exchange control purposes by the Central Bank of The Bahamas.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Bermuda</w:t>
      </w:r>
    </w:p>
    <w:p>
      <w:pPr>
        <w:spacing w:after="0" w:line="14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ADSs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162"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The ADSs are not being, and may not be offered to the public or to any person in the British Virgin Islands for purchase or subscription by or on behalf of the issuer. The ADSs may be offered to companies incorporated under the BVI Business Companies Act, 2004 (British Virgin Islands) (“</w:t>
      </w:r>
      <w:r>
        <w:rPr>
          <w:rFonts w:ascii="Times New Roman" w:cs="Times New Roman" w:eastAsia="Times New Roman" w:hAnsi="Times New Roman"/>
          <w:sz w:val="18"/>
          <w:szCs w:val="18"/>
          <w:b w:val="1"/>
          <w:bCs w:val="1"/>
          <w:color w:val="auto"/>
        </w:rPr>
        <w:t>BVI Companies</w:t>
      </w:r>
      <w:r>
        <w:rPr>
          <w:rFonts w:ascii="Times New Roman" w:cs="Times New Roman" w:eastAsia="Times New Roman" w:hAnsi="Times New Roman"/>
          <w:sz w:val="18"/>
          <w:szCs w:val="18"/>
          <w:color w:val="auto"/>
        </w:rPr>
        <w:t>”), but only where the offer will be made to, and received by, the relevant BVI Company entirely outside of the British Virgin Islands.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9" w:name="page200"/>
    <w:bookmarkEnd w:id="1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This prospectus is not intended to constitute a public offer of the ADSs or ordinary shares, whether by way of sale or subscription, in the Cayman Islands. No offer or invitation may be made to the public in the Cayman Islands to subscribe for or purchase the ordinary shares or any ADS. Each underwriter has represented and agreed that it has not offered or sold, and will not offer or sell, directly or indirectly, any ADSs or ordinary shares in the Cayman Islands.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Chile</w:t>
      </w:r>
    </w:p>
    <w:p>
      <w:pPr>
        <w:spacing w:after="0" w:line="148"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These ADSs are privately offered in Chile pursuant to the provisions of Law 18,045, the security market law of, and Norma De Carácter General No. 336 (“</w:t>
      </w:r>
      <w:r>
        <w:rPr>
          <w:rFonts w:ascii="Times New Roman" w:cs="Times New Roman" w:eastAsia="Times New Roman" w:hAnsi="Times New Roman"/>
          <w:sz w:val="18"/>
          <w:szCs w:val="18"/>
          <w:b w:val="1"/>
          <w:bCs w:val="1"/>
          <w:color w:val="auto"/>
        </w:rPr>
        <w:t>Rule 336</w:t>
      </w:r>
      <w:r>
        <w:rPr>
          <w:rFonts w:ascii="Times New Roman" w:cs="Times New Roman" w:eastAsia="Times New Roman" w:hAnsi="Times New Roman"/>
          <w:sz w:val="18"/>
          <w:szCs w:val="18"/>
          <w:color w:val="auto"/>
        </w:rPr>
        <w:t>”), dated June 27, 2012, issued by the Superintendencia De Valores Y Seguros De Chile (“</w:t>
      </w:r>
      <w:r>
        <w:rPr>
          <w:rFonts w:ascii="Times New Roman" w:cs="Times New Roman" w:eastAsia="Times New Roman" w:hAnsi="Times New Roman"/>
          <w:sz w:val="18"/>
          <w:szCs w:val="18"/>
          <w:b w:val="1"/>
          <w:bCs w:val="1"/>
          <w:color w:val="auto"/>
        </w:rPr>
        <w:t>SVS</w:t>
      </w:r>
      <w:r>
        <w:rPr>
          <w:rFonts w:ascii="Times New Roman" w:cs="Times New Roman" w:eastAsia="Times New Roman" w:hAnsi="Times New Roman"/>
          <w:sz w:val="18"/>
          <w:szCs w:val="18"/>
          <w:color w:val="auto"/>
        </w:rPr>
        <w:t>”), the securities regulator of Chile, to resident qualified investors that are listed in Rule 336 and further defined in Rule 216 of June 12, 2008 issued by the SVS.</w:t>
      </w:r>
    </w:p>
    <w:p>
      <w:pPr>
        <w:spacing w:after="0" w:line="335"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Pursuant to Rule 336 the following information is provided in Chile to prospective resident investors in the offered securities:</w:t>
      </w:r>
    </w:p>
    <w:p>
      <w:pPr>
        <w:spacing w:after="0" w:line="94" w:lineRule="exact"/>
        <w:rPr>
          <w:sz w:val="20"/>
          <w:szCs w:val="20"/>
          <w:color w:val="auto"/>
        </w:rPr>
      </w:pPr>
    </w:p>
    <w:p>
      <w:pPr>
        <w:ind w:left="2260" w:hanging="280"/>
        <w:spacing w:after="0"/>
        <w:tabs>
          <w:tab w:leader="none" w:pos="22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of the offer in Chile is [MM] [DD], [YYYY].</w:t>
      </w:r>
    </w:p>
    <w:p>
      <w:pPr>
        <w:spacing w:after="0" w:line="144" w:lineRule="exact"/>
        <w:rPr>
          <w:rFonts w:ascii="Times New Roman" w:cs="Times New Roman" w:eastAsia="Times New Roman" w:hAnsi="Times New Roman"/>
          <w:sz w:val="18"/>
          <w:szCs w:val="18"/>
          <w:color w:val="auto"/>
        </w:rPr>
      </w:pPr>
    </w:p>
    <w:p>
      <w:pPr>
        <w:ind w:left="1620" w:right="419" w:firstLine="360"/>
        <w:spacing w:after="0" w:line="282" w:lineRule="auto"/>
        <w:tabs>
          <w:tab w:leader="none" w:pos="226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subject to NCG 336 of June 27, 2012 issued by the Superintendencia De Valores Y Seguros De Chile (superintendency of securities and insurance of Chile)</w:t>
      </w:r>
    </w:p>
    <w:p>
      <w:pPr>
        <w:spacing w:after="0" w:line="94" w:lineRule="exact"/>
        <w:rPr>
          <w:rFonts w:ascii="Times New Roman" w:cs="Times New Roman" w:eastAsia="Times New Roman" w:hAnsi="Times New Roman"/>
          <w:sz w:val="18"/>
          <w:szCs w:val="18"/>
          <w:color w:val="auto"/>
        </w:rPr>
      </w:pPr>
    </w:p>
    <w:p>
      <w:pPr>
        <w:ind w:left="1620" w:right="419" w:firstLine="360"/>
        <w:spacing w:after="0" w:line="282" w:lineRule="auto"/>
        <w:tabs>
          <w:tab w:leader="none" w:pos="235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refers to securities that are not registered in the Registro De Valores (securities registry) or the Registro De Valores Extranjeros (foreign securities registry) of the SVS and therefore:</w:t>
      </w:r>
    </w:p>
    <w:p>
      <w:pPr>
        <w:spacing w:after="0" w:line="94" w:lineRule="exact"/>
        <w:rPr>
          <w:rFonts w:ascii="Times New Roman" w:cs="Times New Roman" w:eastAsia="Times New Roman" w:hAnsi="Times New Roman"/>
          <w:sz w:val="18"/>
          <w:szCs w:val="18"/>
          <w:color w:val="auto"/>
        </w:rPr>
      </w:pPr>
    </w:p>
    <w:p>
      <w:pPr>
        <w:ind w:left="2620" w:hanging="280"/>
        <w:spacing w:after="0"/>
        <w:tabs>
          <w:tab w:leader="none" w:pos="26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not subject to the oversight of the SVS; and</w:t>
      </w:r>
    </w:p>
    <w:p>
      <w:pPr>
        <w:spacing w:after="0" w:line="144" w:lineRule="exact"/>
        <w:rPr>
          <w:rFonts w:ascii="Times New Roman" w:cs="Times New Roman" w:eastAsia="Times New Roman" w:hAnsi="Times New Roman"/>
          <w:sz w:val="18"/>
          <w:szCs w:val="18"/>
          <w:color w:val="auto"/>
        </w:rPr>
      </w:pPr>
    </w:p>
    <w:p>
      <w:pPr>
        <w:ind w:left="1980" w:right="419" w:firstLine="360"/>
        <w:spacing w:after="0" w:line="282" w:lineRule="auto"/>
        <w:tabs>
          <w:tab w:leader="none" w:pos="270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issuer thereof is not subject to reporting obligation with respect to itself or the offered securities.</w:t>
      </w:r>
    </w:p>
    <w:p>
      <w:pPr>
        <w:spacing w:after="0" w:line="94" w:lineRule="exact"/>
        <w:rPr>
          <w:rFonts w:ascii="Times New Roman" w:cs="Times New Roman" w:eastAsia="Times New Roman" w:hAnsi="Times New Roman"/>
          <w:sz w:val="18"/>
          <w:szCs w:val="18"/>
          <w:color w:val="auto"/>
        </w:rPr>
      </w:pPr>
    </w:p>
    <w:p>
      <w:pPr>
        <w:ind w:left="1620" w:right="419" w:firstLine="360"/>
        <w:spacing w:after="0" w:line="282" w:lineRule="auto"/>
        <w:tabs>
          <w:tab w:leader="none" w:pos="229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may not be publicly offered in Chile unless and until they are registered in the securities registry of the SVS.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Finance Center</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This document relates to an Exempt Offer, as defined in the Offered Securities Rules module of the DFSA Rulebook, or the OSR, in accordance with the Offered Securities Rules of the Dubai Financial Services Authority. This document is intended for distribution only to persons, as defined in the OSR,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ADSs to which this document relates may be illiquid and/or subject to restrictions on their resale.</w:t>
      </w:r>
    </w:p>
    <w:p>
      <w:pPr>
        <w:spacing w:after="0" w:line="111"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Prospective purchasers of the ADSs offered should conduct their own due diligence on the ADSs. If you do not understand the contents of this document you should consult an authorized financial adviser.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0" w:name="page201"/>
    <w:bookmarkEnd w:id="2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 and the United Kingdom</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relation to the EU Prospectus Regulation (EU) 2017/1129 repealing Directive (2003/71/EC), as implemented by the member states of the European Economic Area and the United Kingdom (each, a “Relevant State”) as well as any equivalent or similar law, rule or regulation or guidance implemented in the United Kingdom as a result of it ceasing to be part of the European Economic Area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Regulation</w:t>
      </w:r>
      <w:r>
        <w:rPr>
          <w:rFonts w:ascii="Times New Roman" w:cs="Times New Roman" w:eastAsia="Times New Roman" w:hAnsi="Times New Roman"/>
          <w:sz w:val="18"/>
          <w:szCs w:val="18"/>
          <w:color w:val="auto"/>
        </w:rPr>
        <w:t>”), an offer to the public of any ADSs which are the subject of the offering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may not be made in that Relevant State unless the prospectus has been approved by the competent authority in such Relevant State or, where appropriate, approved in another Relevant State and notified to the competent authority in that Relevant State, all in accordance with the Prospectus Regulation, except that an offer to the public in that Relevant State of any ADSs may be made at any time under the following exemptions under the Prospectus Regulation, as implemented in that Relevant State:</w:t>
      </w:r>
    </w:p>
    <w:p>
      <w:pPr>
        <w:spacing w:after="0" w:line="78" w:lineRule="exact"/>
        <w:rPr>
          <w:sz w:val="20"/>
          <w:szCs w:val="20"/>
          <w:color w:val="auto"/>
        </w:rPr>
      </w:pPr>
    </w:p>
    <w:p>
      <w:pPr>
        <w:ind w:left="1800" w:hanging="180"/>
        <w:spacing w:after="0"/>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within the meaning of Article 2(e) of the Prospectus Regulation;</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underwriters to fewer than 150 natural or legal persons (other than “qualified investors” as defined in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provided that no such offer of ADSs shall result in a requirement for the publication by us or the representatives of a prospectus pursuant to Article 3 of the Prospectus Regulation or supplement a prospectus pursuant to Article 23 of the Prospectus Regulation.</w:t>
      </w:r>
    </w:p>
    <w:p>
      <w:pPr>
        <w:spacing w:after="0" w:line="109"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Any person making or intending to make any offer of ADSs within the EEA should only do so in circumstances in which no obligation arises for us or any of the underwriters to produce a prospectus for such offer. Neither we nor the underwriters have authorized, nor do they authorize, the making of any offer of ADSs through any financial intermediary, other than offers made by the underwriters which constitute the final offering of ADSs contemplated in this prospectus.</w:t>
      </w:r>
    </w:p>
    <w:p>
      <w:pPr>
        <w:spacing w:after="0" w:line="11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For the purposes of this provision, and your representation below, the expression an “offer of ADSs to the public” in relation to any ADSs in any Relevant State means a communication to persons in any form and by any means, presenting sufficient information on the terms of the offer and any ADSs to be offered, so as to enable an investor to decide to purchase any ADSs, as the same may be varied in that Relevant State by any measure implementing the Prospectus Regulation in that Relevant State.</w:t>
      </w:r>
    </w:p>
    <w:p>
      <w:pPr>
        <w:spacing w:after="0" w:line="11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Each person in a Relevant State who receives any communication in respect of, or who acquires any ADSs under, the offer of ADSs contemplated by this prospectus will be deemed to have represented, warranted and agreed to and with us and each underwriter that:</w:t>
      </w:r>
    </w:p>
    <w:p>
      <w:pPr>
        <w:spacing w:after="0" w:line="61" w:lineRule="exact"/>
        <w:rPr>
          <w:sz w:val="20"/>
          <w:szCs w:val="20"/>
          <w:color w:val="auto"/>
        </w:rPr>
      </w:pPr>
    </w:p>
    <w:p>
      <w:pPr>
        <w:jc w:val="both"/>
        <w:ind w:left="1800" w:right="419" w:hanging="180"/>
        <w:spacing w:after="0" w:line="266" w:lineRule="auto"/>
        <w:tabs>
          <w:tab w:leader="none" w:pos="18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“qualified investor” within the meaning of the law in that Relevant State implementing Article 2(e) of the Prospectus Regulation (unless otherwise expressly disclosed to us and/or the relevant underwriter in writing); and</w:t>
      </w:r>
    </w:p>
    <w:p>
      <w:pPr>
        <w:spacing w:after="0" w:line="54" w:lineRule="exact"/>
        <w:rPr>
          <w:rFonts w:ascii="Times New Roman" w:cs="Times New Roman" w:eastAsia="Times New Roman" w:hAnsi="Times New Roman"/>
          <w:sz w:val="18"/>
          <w:szCs w:val="18"/>
          <w:color w:val="auto"/>
        </w:rPr>
      </w:pPr>
    </w:p>
    <w:p>
      <w:pPr>
        <w:jc w:val="both"/>
        <w:ind w:left="1800" w:right="419" w:hanging="180"/>
        <w:spacing w:after="0" w:line="255" w:lineRule="auto"/>
        <w:tabs>
          <w:tab w:leader="none" w:pos="18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ADSs acquired by it as a financial intermediary, as that term is used in Article 5(1) of the Prospectus Regulation, (i) the ADSs acquired by it in the offering have not been acquired on behalf of, nor have they been acquired with a view to their offer or resale to, persons in any Relevant State other than “qualified investors” (as​ defined in the Prospectus Regulation), or in circumstances in which the prior consent of the representatives have been given to the offer or resale; or (ii) where ADSs have been acquired by it on behalf of persons in any Relevant State other than qualified investors, the offer of those ADSs to it is not treated under the Prospectus Regulation as having been made to such persons.</w:t>
      </w:r>
    </w:p>
    <w:p>
      <w:pPr>
        <w:spacing w:after="0" w:line="337"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No ADSs have been offered in the United Kingdom, except that an offer to the public of any ADSs may be made in the United Kingdom at any time:</w:t>
      </w:r>
    </w:p>
    <w:p>
      <w:pPr>
        <w:spacing w:after="0" w:line="54" w:lineRule="exact"/>
        <w:rPr>
          <w:sz w:val="20"/>
          <w:szCs w:val="20"/>
          <w:color w:val="auto"/>
        </w:rPr>
      </w:pPr>
    </w:p>
    <w:p>
      <w:pPr>
        <w:ind w:left="1800" w:right="419" w:hanging="180"/>
        <w:spacing w:after="0" w:line="282"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underwriters for any such offer;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1" w:name="page202"/>
    <w:bookmarkEnd w:id="2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in any other circumstances falling within Section 86 of the FSMA.</w:t>
      </w:r>
    </w:p>
    <w:p>
      <w:pPr>
        <w:spacing w:after="0" w:line="158"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provided that no such offer of the ADSs shall require the issuer or any manager to publish a prospectus pursuant to Section 85 of the FSMA or supplement a prospectus pursuant to Article 23 of the UK Prospectus Regulation. For the purposes of this provision, the expression an “offer to the public” in relation to the ADSs in the United Kingdom means the communication in any form and by any means of sufficient information on the terms of the offer and any ADS to be offered so as to enable an investor to decide to purchase or subscribe for any ADSs and the expression “UK Prospectus Regulation” means Regulation (EU) 2017/1129 as it forms part of domestic law by virtue of the European Union (Withdrawal) Act 2018.</w:t>
      </w:r>
    </w:p>
    <w:p>
      <w:pPr>
        <w:spacing w:after="0" w:line="121"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(ii) who are high-net-worth entities falling within Article 49(2) of the Order, and</w:t>
      </w:r>
    </w:p>
    <w:p>
      <w:pPr>
        <w:spacing w:after="0" w:line="3" w:lineRule="exact"/>
        <w:rPr>
          <w:sz w:val="20"/>
          <w:szCs w:val="20"/>
          <w:color w:val="auto"/>
        </w:rPr>
      </w:pPr>
    </w:p>
    <w:p>
      <w:pPr>
        <w:jc w:val="both"/>
        <w:ind w:left="1260" w:right="419"/>
        <w:spacing w:after="0" w:line="253" w:lineRule="auto"/>
        <w:tabs>
          <w:tab w:leader="none" w:pos="160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persons to whom it may otherwise lawfully be communicated pursuant to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France</w:t>
      </w:r>
    </w:p>
    <w:p>
      <w:pPr>
        <w:spacing w:after="0" w:line="14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Neither this prospectus nor any other offering material relating to the ADSs described in this prospectus has been submitted to the clearance procedures of the Autorité des Marchés Financiers or of the competent authority of another member state of the European Economic Area and notified to the Autorité des Marchés Financiers. The ADSs have not been offered or sold and will not be offered or sold, directly or indirectly, to the public in France. Neither this prospectus nor any other offering material relating to the ADSs has been or will be (1) released, issued, distributed or caused to be released, issued or distributed to the public in France; or (2) used in connection with any offer for subscription or sale of the ADSs to the public in France.</w:t>
      </w:r>
    </w:p>
    <w:p>
      <w:pPr>
        <w:spacing w:after="0" w:line="3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58" w:lineRule="exact"/>
        <w:rPr>
          <w:sz w:val="20"/>
          <w:szCs w:val="20"/>
          <w:color w:val="auto"/>
        </w:rPr>
      </w:pPr>
    </w:p>
    <w:p>
      <w:pPr>
        <w:jc w:val="both"/>
        <w:ind w:left="1620" w:right="419" w:firstLine="360"/>
        <w:spacing w:after="0" w:line="261" w:lineRule="auto"/>
        <w:tabs>
          <w:tab w:leader="none" w:pos="237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(investisseurs estraint) and/or to a restricted circle of investors (cercle estraint d’investisseurs), in each case investing for their own account, all as defined in, and in accordance with, articles L.411-2, D.411-1, D.411-2, D.734-1, D.744-1, D.754-1 and D.764-1 of the French Code monétaire et financier;</w:t>
      </w:r>
    </w:p>
    <w:p>
      <w:pPr>
        <w:spacing w:after="0" w:line="98" w:lineRule="exact"/>
        <w:rPr>
          <w:rFonts w:ascii="Times New Roman" w:cs="Times New Roman" w:eastAsia="Times New Roman" w:hAnsi="Times New Roman"/>
          <w:sz w:val="18"/>
          <w:szCs w:val="18"/>
          <w:color w:val="auto"/>
        </w:rPr>
      </w:pPr>
    </w:p>
    <w:p>
      <w:pPr>
        <w:ind w:left="1620" w:right="419" w:firstLine="360"/>
        <w:spacing w:after="0" w:line="282" w:lineRule="auto"/>
        <w:tabs>
          <w:tab w:leader="none" w:pos="238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94" w:lineRule="exact"/>
        <w:rPr>
          <w:rFonts w:ascii="Times New Roman" w:cs="Times New Roman" w:eastAsia="Times New Roman" w:hAnsi="Times New Roman"/>
          <w:sz w:val="18"/>
          <w:szCs w:val="18"/>
          <w:color w:val="auto"/>
        </w:rPr>
      </w:pPr>
    </w:p>
    <w:p>
      <w:pPr>
        <w:jc w:val="both"/>
        <w:ind w:left="1620" w:right="419" w:firstLine="360"/>
        <w:spacing w:after="0" w:line="266" w:lineRule="auto"/>
        <w:tabs>
          <w:tab w:leader="none" w:pos="234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that, in accordance with article L.411-2-II-1° -or-2° -or 3° of the French Code monétaire et financier and article 211-2 of the General Regulations (Réglement Général) of the Autorité des Marchés Financiers, does not constitute a public offer (appel public á l’épargne).</w:t>
      </w:r>
    </w:p>
    <w:p>
      <w:pPr>
        <w:spacing w:after="0" w:line="10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ADSs may be resold directly or indirectly, only in compliance with articles L.411-1, L.411-2, L412-1 and L.621-8 through L.621-8-3 of the French Code monétaire et financier.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Germany</w:t>
      </w:r>
    </w:p>
    <w:p>
      <w:pPr>
        <w:spacing w:after="0" w:line="148"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This prospectus does not constitute a Prospectus Directive-compliant prospectus in accordance with the German Securities Prospectus Act (Wertpapierprospektgesetz) and does therefore not allow any public offering in the Federal Republic of Germany, or Germany, or any other Relevant Member State pursuant to</w:t>
      </w:r>
    </w:p>
    <w:p>
      <w:pPr>
        <w:spacing w:after="0" w:line="1" w:lineRule="exact"/>
        <w:rPr>
          <w:sz w:val="20"/>
          <w:szCs w:val="20"/>
          <w:color w:val="auto"/>
        </w:rPr>
      </w:pPr>
    </w:p>
    <w:p>
      <w:pPr>
        <w:jc w:val="both"/>
        <w:ind w:left="1260" w:right="419"/>
        <w:spacing w:after="0" w:line="252" w:lineRule="auto"/>
        <w:tabs>
          <w:tab w:leader="none" w:pos="140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and § 18 of the German Securities Prospectus Act. No action has been or will be taken in Germany that would permit a public offering of the ADSs, or distribution of a prospectus or any other offering material relating to the ADSs. In particular, no securities prospectus (Wertpapierprospekt) within the meaning of the German Securities Prospectus Act or any other applicable laws of Germany, has been or will be published within Germany, nor has this prospectus been filed with or approved by the German Federal Financial Supervisory Authority (Bundesanstalt für Finanzdienstleistungsaufsicht) for publication within Germany.</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2" w:name="page203"/>
    <w:bookmarkEnd w:id="2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Each underwriter will represent, agree and undertake (i) that it has not offered, sold or delivered and will not offer, sell or deliver the ADSs within Germany other than in accordance with the German Securities Prospectus Act (Wertpapierprospektgesetz) and any other applicable laws in Germany governing the issue, sale and offering of ADSs, and (ii) that it will distribute in Germany any offering material relating to the ADSs only under circumstances that will result in compliance with the applicable rules and regulations of Germany.</w:t>
      </w:r>
    </w:p>
    <w:p>
      <w:pPr>
        <w:spacing w:after="0" w:line="336"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This prospectus is strictly for use of the person who has received it. It may not be forwarded to other persons or published in Germany.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ADSs may not be offered or sold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 571, Laws of Hong Kong) and any rules made thereunder.</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Indonesia</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This prospectus does not, and is not intended to, constitute a public offering in Indonesia under Law Number 8 of 1995 regarding Capital Market. This prospectus may not be distributed in the Republic of Indonesia and the ADSs may not be offered or sold in the Republic of Indonesia or to Indonesian citizens wherever they are domiciled, or to Indonesia residents, in a manner which constitutes a public offering under the laws of the Republic of Indonesia.</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In the State of Israel, the ADSs offered hereby may not be offered to any person or entity other than the following:</w:t>
      </w:r>
    </w:p>
    <w:p>
      <w:pPr>
        <w:spacing w:after="0" w:line="54" w:lineRule="exact"/>
        <w:rPr>
          <w:sz w:val="20"/>
          <w:szCs w:val="20"/>
          <w:color w:val="auto"/>
        </w:rPr>
      </w:pPr>
    </w:p>
    <w:p>
      <w:pPr>
        <w:ind w:left="1800" w:right="419" w:hanging="180"/>
        <w:spacing w:after="0" w:line="282"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 for joint investments in trust (i.e., mutual fund), as such term is defined in the Law for Joint Investments in Trust, 5754-1994, or a management company of such a fund;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provident fund as defined in Section 47(a)(2) of the Income Tax Ordinance of the State of Israel, or a management company of such a fund;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insurer, as defined in the Law for Oversight of Insurance Transactions, 5741-1981, a banking entity or satellite entity, as such terms are defined in the Banking Law (Licensing), 5741-1981, other than a joint services company, acting for their own account or for the account of investors of the type listed in Section 15A(b) of the Securities Law 1968;</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63"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291"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that is licensed as an investment advisor, as such term is defined in Section 7(c) of the Law for the Regulation of Investment Advisors and Portfolio Managers, 5755-1995, acting on its own account;</w:t>
      </w:r>
    </w:p>
    <w:p>
      <w:pPr>
        <w:spacing w:after="0" w:line="28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that is a member of the Tel Aviv Stock Exchange, acting on its own account or for the account of investors of the type listed in Section 15A(b) of the Securities Law 1968;</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underwriter fulfilling the conditions of Section 56(c) of the Securities Law, 5728-1968;</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3" w:name="page204"/>
    <w:bookmarkEnd w:id="2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66" w:lineRule="auto"/>
        <w:tabs>
          <w:tab w:leader="none" w:pos="18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primarily engaged in capital markets activities in which all of the equity owners meet one or more of the above criteria; and</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other than an entity formed for the purpose of purchasing the ADSs in this offering, in which the shareholders equity (including pursuant to foreign accounting rules, international accounting regulations and U.S. generally accepted accounting rules, as defined in the Securities Law Regulations (Preparation of Annual Financial Statements), 1993) is in excess of NIS 250 million.</w:t>
      </w:r>
    </w:p>
    <w:p>
      <w:pPr>
        <w:spacing w:after="0" w:line="30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Any offeree of the ADSs offered hereby in the State of Israel shall be required to submit written confirmation that it falls within the scope of one of the above criteria. This prospectus will not be distributed or directed to investors in the State of Israel who do not fall within one of the above criteria.</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Italy</w:t>
      </w:r>
    </w:p>
    <w:p>
      <w:pPr>
        <w:spacing w:after="0" w:line="148"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color w:val="auto"/>
        </w:rPr>
        <w:t>The offering of ADSs has not been registered with the Commissione Nazionale per le Società e la Borsa (“</w:t>
      </w:r>
      <w:r>
        <w:rPr>
          <w:rFonts w:ascii="Times New Roman" w:cs="Times New Roman" w:eastAsia="Times New Roman" w:hAnsi="Times New Roman"/>
          <w:sz w:val="18"/>
          <w:szCs w:val="18"/>
          <w:b w:val="1"/>
          <w:bCs w:val="1"/>
          <w:color w:val="auto"/>
        </w:rPr>
        <w:t>CONSOB</w:t>
      </w:r>
      <w:r>
        <w:rPr>
          <w:rFonts w:ascii="Times New Roman" w:cs="Times New Roman" w:eastAsia="Times New Roman" w:hAnsi="Times New Roman"/>
          <w:sz w:val="18"/>
          <w:szCs w:val="18"/>
          <w:color w:val="auto"/>
        </w:rPr>
        <w:t>”) pursuant to Italian securities legislation and, accordingly, no ADSs may be offered, sold or delivered, nor copies of this prospectus or any other documents relating to the ADSs may not be distributed in Italy except:</w:t>
      </w:r>
    </w:p>
    <w:p>
      <w:pPr>
        <w:spacing w:after="0" w:line="77" w:lineRule="exact"/>
        <w:rPr>
          <w:sz w:val="20"/>
          <w:szCs w:val="20"/>
          <w:color w:val="auto"/>
        </w:rPr>
      </w:pPr>
    </w:p>
    <w:p>
      <w:pPr>
        <w:jc w:val="both"/>
        <w:ind w:left="1800" w:right="419" w:hanging="180"/>
        <w:spacing w:after="0" w:line="258" w:lineRule="auto"/>
        <w:tabs>
          <w:tab w:leader="none" w:pos="18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as referred to in Article 100 of Legislative Decree No. 58 of 24 February 1998, as amended (the “</w:t>
      </w:r>
      <w:r>
        <w:rPr>
          <w:rFonts w:ascii="Times New Roman" w:cs="Times New Roman" w:eastAsia="Times New Roman" w:hAnsi="Times New Roman"/>
          <w:sz w:val="18"/>
          <w:szCs w:val="18"/>
          <w:b w:val="1"/>
          <w:bCs w:val="1"/>
          <w:color w:val="auto"/>
        </w:rPr>
        <w:t>Decree No. 58</w:t>
      </w:r>
      <w:r>
        <w:rPr>
          <w:rFonts w:ascii="Times New Roman" w:cs="Times New Roman" w:eastAsia="Times New Roman" w:hAnsi="Times New Roman"/>
          <w:sz w:val="18"/>
          <w:szCs w:val="18"/>
          <w:color w:val="auto"/>
        </w:rPr>
        <w:t>”) and defined in Article 26, paragraph 1, letter d) of CONSOB Regulation No. 16190 of 29 October 2007, as amended (“</w:t>
      </w:r>
      <w:r>
        <w:rPr>
          <w:rFonts w:ascii="Times New Roman" w:cs="Times New Roman" w:eastAsia="Times New Roman" w:hAnsi="Times New Roman"/>
          <w:sz w:val="18"/>
          <w:szCs w:val="18"/>
          <w:b w:val="1"/>
          <w:bCs w:val="1"/>
          <w:color w:val="auto"/>
        </w:rPr>
        <w:t>Regulation No. 16190</w:t>
      </w:r>
      <w:r>
        <w:rPr>
          <w:rFonts w:ascii="Times New Roman" w:cs="Times New Roman" w:eastAsia="Times New Roman" w:hAnsi="Times New Roman"/>
          <w:sz w:val="18"/>
          <w:szCs w:val="18"/>
          <w:color w:val="auto"/>
        </w:rPr>
        <w:t>”) pursuant to Article 34-ter, paragraph 1, letter. b) of CONSOB Regulation No. 11971 of 14 May 1999, as amended (“</w:t>
      </w:r>
      <w:r>
        <w:rPr>
          <w:rFonts w:ascii="Times New Roman" w:cs="Times New Roman" w:eastAsia="Times New Roman" w:hAnsi="Times New Roman"/>
          <w:sz w:val="18"/>
          <w:szCs w:val="18"/>
          <w:b w:val="1"/>
          <w:bCs w:val="1"/>
          <w:color w:val="auto"/>
        </w:rPr>
        <w:t>Regulation No. 11971</w:t>
      </w:r>
      <w:r>
        <w:rPr>
          <w:rFonts w:ascii="Times New Roman" w:cs="Times New Roman" w:eastAsia="Times New Roman" w:hAnsi="Times New Roman"/>
          <w:sz w:val="18"/>
          <w:szCs w:val="18"/>
          <w:color w:val="auto"/>
        </w:rPr>
        <w:t>”); or</w:t>
      </w:r>
    </w:p>
    <w:p>
      <w:pPr>
        <w:spacing w:after="0" w:line="6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where an express exemption from compliance with the offer restrictions applies, as provided under Decree No. 58 or Regulation No. 11971.</w:t>
      </w:r>
    </w:p>
    <w:p>
      <w:pPr>
        <w:spacing w:after="0" w:line="94"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Any offer, sale or delivery of the ADSs or distribution of copies of this prospectus or any other documents relating to the ADSs in the Republic of Italy must be:</w:t>
      </w:r>
    </w:p>
    <w:p>
      <w:pPr>
        <w:spacing w:after="0" w:line="54" w:lineRule="exact"/>
        <w:rPr>
          <w:sz w:val="20"/>
          <w:szCs w:val="20"/>
          <w:color w:val="auto"/>
        </w:rPr>
      </w:pPr>
    </w:p>
    <w:p>
      <w:pPr>
        <w:jc w:val="both"/>
        <w:ind w:left="1800" w:right="419" w:hanging="180"/>
        <w:spacing w:after="0" w:line="261"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by investment firms, banks or financial intermediaries permitted to conduct such activities in the Republic of Italy in accordance with Legislative Decree No. 385 of 1 September 1993, as amended (the “</w:t>
      </w:r>
      <w:r>
        <w:rPr>
          <w:rFonts w:ascii="Times New Roman" w:cs="Times New Roman" w:eastAsia="Times New Roman" w:hAnsi="Times New Roman"/>
          <w:sz w:val="18"/>
          <w:szCs w:val="18"/>
          <w:b w:val="1"/>
          <w:bCs w:val="1"/>
          <w:color w:val="auto"/>
        </w:rPr>
        <w:t>Banking Law</w:t>
      </w:r>
      <w:r>
        <w:rPr>
          <w:rFonts w:ascii="Times New Roman" w:cs="Times New Roman" w:eastAsia="Times New Roman" w:hAnsi="Times New Roman"/>
          <w:sz w:val="18"/>
          <w:szCs w:val="18"/>
          <w:color w:val="auto"/>
        </w:rPr>
        <w:t>”), Decree No. 58 and Regulation No. 16190 and any other applicable laws and regulations;</w:t>
      </w:r>
    </w:p>
    <w:p>
      <w:pPr>
        <w:spacing w:after="0" w:line="58"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Article 129 of the Banking Law, and the implementing guidelines of the Bank of Italy, as amended; and</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any other applicable notification requirement or limitation which may be imposed, from time to time, by CONSOB or the Bank of Italy or other competent authority.</w:t>
      </w:r>
    </w:p>
    <w:p>
      <w:pPr>
        <w:spacing w:after="0" w:line="9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Please note that, in accordance with Article 100-bis of Decree No. 58, where no exemption from the rules on public offerings applies, the subsequent distribution of the ADSs on the secondary market in Italy must be made in compliance with the public offer and the prospectus requirement rules provided under Decree No. 58 and Regulation No. 11971.</w:t>
      </w:r>
    </w:p>
    <w:p>
      <w:pPr>
        <w:spacing w:after="0" w:line="11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Furthermore, ADSs which are initially offered and placed in Italy or abroad to qualified investors only but in the following year are regularly (“</w:t>
      </w:r>
      <w:r>
        <w:rPr>
          <w:rFonts w:ascii="Times New Roman" w:cs="Times New Roman" w:eastAsia="Times New Roman" w:hAnsi="Times New Roman"/>
          <w:sz w:val="18"/>
          <w:szCs w:val="18"/>
          <w:b w:val="1"/>
          <w:bCs w:val="1"/>
          <w:color w:val="auto"/>
        </w:rPr>
        <w:t>sistematicamente</w:t>
      </w:r>
      <w:r>
        <w:rPr>
          <w:rFonts w:ascii="Times New Roman" w:cs="Times New Roman" w:eastAsia="Times New Roman" w:hAnsi="Times New Roman"/>
          <w:sz w:val="18"/>
          <w:szCs w:val="18"/>
          <w:color w:val="auto"/>
        </w:rPr>
        <w:t>”) distributed on the secondary market in Italy to non-qualified investors become subject to the public offer and the prospectus requirement rules provided under Decree No. 58 and Regulation No. 11971. Failure to comply with such rules may result in the sale of the ADSs being declared null and void and in the liability of the intermediary transferring the ADSs for any damages suffered by such non-qualified investors.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ADSs.</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4" w:name="page205"/>
    <w:bookmarkEnd w:id="2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Accordingly, the ADSs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Korea</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Kuwait</w:t>
      </w:r>
    </w:p>
    <w:p>
      <w:pPr>
        <w:spacing w:after="0" w:line="16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3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Malaysia</w:t>
      </w:r>
    </w:p>
    <w:p>
      <w:pPr>
        <w:spacing w:after="0" w:line="162"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color w:val="auto"/>
        </w:rPr>
        <w:t>No prospectus or other offering material or document in connection with the offer and sale of the ADSs has been or will be registered with the Securities Commission of Malaysia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for the Commission’s approval pursuant to the Capital Markets and Services Act 2007.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ADSs, as principal, if the offer is on terms that the ADSs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w:t>
      </w:r>
    </w:p>
    <w:p>
      <w:pPr>
        <w:spacing w:after="0" w:line="16" w:lineRule="exact"/>
        <w:rPr>
          <w:sz w:val="20"/>
          <w:szCs w:val="20"/>
          <w:color w:val="auto"/>
        </w:rPr>
      </w:pPr>
    </w:p>
    <w:p>
      <w:pPr>
        <w:jc w:val="both"/>
        <w:ind w:left="1260" w:right="419"/>
        <w:spacing w:after="0" w:line="241" w:lineRule="auto"/>
        <w:tabs>
          <w:tab w:leader="none" w:pos="159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as may be specified by the Commission; provided that, in the each of the preceding categories (i) to (xi), the distribution of the ADSs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3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New Zealand</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This document has not been registered, filed with or approved by any New Zealand regulatory authority under the Financial Markets Conduct Act 2013 (the “ </w:t>
      </w:r>
      <w:r>
        <w:rPr>
          <w:rFonts w:ascii="Times New Roman" w:cs="Times New Roman" w:eastAsia="Times New Roman" w:hAnsi="Times New Roman"/>
          <w:sz w:val="18"/>
          <w:szCs w:val="18"/>
          <w:b w:val="1"/>
          <w:bCs w:val="1"/>
          <w:color w:val="auto"/>
        </w:rPr>
        <w:t>FMA Act</w:t>
      </w:r>
      <w:r>
        <w:rPr>
          <w:rFonts w:ascii="Times New Roman" w:cs="Times New Roman" w:eastAsia="Times New Roman" w:hAnsi="Times New Roman"/>
          <w:sz w:val="18"/>
          <w:szCs w:val="18"/>
          <w:color w:val="auto"/>
        </w:rPr>
        <w:t>”) . The ADSs may only be offered or sold in New Zealand (or allotted with a view to being offered for sale in New Zealand) to a person who:</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5" w:name="page206"/>
    <w:bookmarkEnd w:id="2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investment business within the meaning of clause 37 of Schedule 1 of the FMC Act;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the investment activity criteria specified in clause 38 of Schedule 1 of the FMC Act;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large within the meaning of clause 39 of Schedule 1 of the FMC Act;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government agency within the meaning of clause 40 of Schedule 1 of the FMC Act;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eligible investor within the meaning of clause 41 of Schedule 1 of the FMC Act.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Monaco</w:t>
      </w:r>
    </w:p>
    <w:p>
      <w:pPr>
        <w:spacing w:after="0" w:line="14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ADSs may not be offered or sold, directly or indirectly, to the public in Monaco other than by a Monaco Bank or a duly authorized Monegasque intermediary acting as a professional institutional investor which has such knowledge and experience in financial and business matters as to be capable of evaluating the risks and merits of an investment in the Fund. Consequently, this prospectus may only be communicated to (i) banks, and (ii) portfolio management companies duly licensed by the “Commission de Contrôle des Activités Financières” by virtue of Law n° 1.338, of September 7, 2007, and authorized under Law n° 1.144 of July 26, 1991. Such regulated intermediaries may in turn communicate this prospectus to potential investors.</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People’s Republic of China</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This prospectus may not be circulated or distributed in the PRC and the ADSs may not be offered or sold, and will not offer or sell to any person for re-offering or resale directly or indirectly to any resident of the PRC except pursuant to applicable laws and regulations of the PRC. This paragraph does not apply to Taiwan and the special administrative regions of Hong Kong and Macau.</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Qatar</w:t>
      </w:r>
    </w:p>
    <w:p>
      <w:pPr>
        <w:spacing w:after="0" w:line="16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Center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Saudi Arabia</w:t>
      </w:r>
    </w:p>
    <w:p>
      <w:pPr>
        <w:spacing w:after="0" w:line="14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This prospectus may not be distributed in the Kingdom except to such persons as are permitted under the Offers of Securities Regulations issued by the Capital Market Authority. The Capital Market Authority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4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6" w:name="page207"/>
    <w:bookmarkEnd w:id="2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Where the ADSs are subscribed or purchased under Section 275 of the SFA by a relevant person which</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w:t>
      </w:r>
    </w:p>
    <w:p>
      <w:pPr>
        <w:spacing w:after="0" w:line="99" w:lineRule="exact"/>
        <w:rPr>
          <w:sz w:val="20"/>
          <w:szCs w:val="20"/>
          <w:color w:val="auto"/>
        </w:rPr>
      </w:pPr>
    </w:p>
    <w:p>
      <w:pPr>
        <w:jc w:val="both"/>
        <w:ind w:left="1800" w:right="419" w:hanging="180"/>
        <w:spacing w:after="0" w:line="266"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48"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9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South Africa</w:t>
      </w:r>
    </w:p>
    <w:p>
      <w:pPr>
        <w:spacing w:after="0" w:line="16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Due to restrictions under the securities laws of South Africa, no “offer to the public” (as​ such term is defined in the South African Companies Act, No. 71 of 2008 (as amended or re-enacted) (the “</w:t>
      </w:r>
      <w:r>
        <w:rPr>
          <w:rFonts w:ascii="Times New Roman" w:cs="Times New Roman" w:eastAsia="Times New Roman" w:hAnsi="Times New Roman"/>
          <w:sz w:val="18"/>
          <w:szCs w:val="18"/>
          <w:b w:val="1"/>
          <w:bCs w:val="1"/>
          <w:color w:val="auto"/>
        </w:rPr>
        <w:t>South African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is being made in connection with the issue of the ADSs in South Africa. Accordingly,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ADSs are not offered, and the offer shall not be transferred, sold, renounced or delivered, in South Africa or to a person with an address in South Africa, unless one or other of the following exemptions stipulated in section 96 (1) applies: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Section 96(1) (a) the offer, transfer, sale, renunciation or delivery is to:</w:t>
      </w:r>
    </w:p>
    <w:p>
      <w:pPr>
        <w:spacing w:after="0" w:line="158" w:lineRule="exact"/>
        <w:rPr>
          <w:sz w:val="20"/>
          <w:szCs w:val="20"/>
          <w:color w:val="auto"/>
        </w:rPr>
      </w:pPr>
    </w:p>
    <w:p>
      <w:pPr>
        <w:ind w:left="1260" w:right="419" w:firstLine="360"/>
        <w:spacing w:after="0" w:line="266" w:lineRule="auto"/>
        <w:tabs>
          <w:tab w:leader="none" w:pos="200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ordinary business, or part of whose ordinary business, is to deal in securities, as principal or agent;</w:t>
      </w:r>
    </w:p>
    <w:p>
      <w:pPr>
        <w:spacing w:after="0" w:line="94"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South African Public Investment Corporation;</w:t>
      </w:r>
    </w:p>
    <w:p>
      <w:pPr>
        <w:spacing w:after="0" w:line="157" w:lineRule="exact"/>
        <w:rPr>
          <w:rFonts w:ascii="Times New Roman" w:cs="Times New Roman" w:eastAsia="Times New Roman" w:hAnsi="Times New Roman"/>
          <w:sz w:val="18"/>
          <w:szCs w:val="18"/>
          <w:color w:val="auto"/>
        </w:rPr>
      </w:pPr>
    </w:p>
    <w:p>
      <w:pPr>
        <w:ind w:left="2060" w:hanging="440"/>
        <w:spacing w:after="0"/>
        <w:tabs>
          <w:tab w:leader="none" w:pos="20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or entities regulated by the Reserve Bank of South Africa;</w:t>
      </w:r>
    </w:p>
    <w:p>
      <w:pPr>
        <w:spacing w:after="0" w:line="90" w:lineRule="exact"/>
        <w:rPr>
          <w:rFonts w:ascii="Times New Roman" w:cs="Times New Roman" w:eastAsia="Times New Roman" w:hAnsi="Times New Roman"/>
          <w:sz w:val="18"/>
          <w:szCs w:val="18"/>
          <w:color w:val="auto"/>
        </w:rPr>
      </w:pPr>
    </w:p>
    <w:p>
      <w:pPr>
        <w:ind w:left="2040" w:hanging="420"/>
        <w:spacing w:after="0"/>
        <w:tabs>
          <w:tab w:leader="none" w:pos="20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authorised financial service providers under South African law;</w:t>
      </w:r>
    </w:p>
    <w:p>
      <w:pPr>
        <w:spacing w:after="0" w:line="103"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recognised as such under South African law;</w:t>
      </w:r>
    </w:p>
    <w:p>
      <w:pPr>
        <w:spacing w:after="0" w:line="103" w:lineRule="exact"/>
        <w:rPr>
          <w:rFonts w:ascii="Times New Roman" w:cs="Times New Roman" w:eastAsia="Times New Roman" w:hAnsi="Times New Roman"/>
          <w:sz w:val="18"/>
          <w:szCs w:val="18"/>
          <w:color w:val="auto"/>
        </w:rPr>
      </w:pPr>
    </w:p>
    <w:p>
      <w:pPr>
        <w:jc w:val="both"/>
        <w:ind w:left="1260" w:right="419" w:firstLine="360"/>
        <w:spacing w:after="0" w:line="250" w:lineRule="auto"/>
        <w:tabs>
          <w:tab w:leader="none" w:pos="205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55" w:lineRule="exact"/>
        <w:rPr>
          <w:rFonts w:ascii="Times New Roman" w:cs="Times New Roman" w:eastAsia="Times New Roman" w:hAnsi="Times New Roman"/>
          <w:sz w:val="18"/>
          <w:szCs w:val="18"/>
          <w:color w:val="auto"/>
        </w:rPr>
      </w:pPr>
    </w:p>
    <w:p>
      <w:pPr>
        <w:ind w:left="2100" w:hanging="480"/>
        <w:spacing w:after="0"/>
        <w:tabs>
          <w:tab w:leader="none" w:pos="21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person in (i) to (vi); or</w:t>
      </w:r>
    </w:p>
    <w:p>
      <w:pPr>
        <w:spacing w:after="0" w:line="104"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Section 96(1) (b) 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269"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Information made available in this prospectus should not be considered as “advice” as defined in the South African Financial Advisory and Intermediary Services Act, 2002.</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9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ADSs may not be offered or sold to any investors in Switzerland other than on a non-public basis. This prospectus does not constitute a prospectus within the meaning of Article 652a and Art. 1156 of the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7" w:name="page208"/>
    <w:bookmarkEnd w:id="2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Swiss Code of Obligations (Schweizerisches Obligationenrecht). Neither this offering nor the ADSs have been or will be approved by any Swiss regulatory authority.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Taiwan</w:t>
      </w:r>
    </w:p>
    <w:p>
      <w:pPr>
        <w:spacing w:after="0" w:line="10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 through a public offering or in such an offering that require registration, filing or approval of the Financial Supervisory Commission of Taiwan except pursuant to the applicable laws and regulations of Taiwan and the competent authority’s ruling thereunder.</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Thailand</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14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ADSs have not been offered or sold, and will not be offered or sold, directly or indirectly, in the United Arab Emirates, except: (1) in compliance with all applicable laws and regulations of the United Arab Emirates; and (2) through persons or corporate entities authorized and licensed to provide investment advice and/or engage in brokerage activity and/or trade in respect of foreign securities in the United Arab Emirates. The information contained in this prospectus does not constitute a public offer of securities in the United Arab Emirates in accordance with the Commercial Companies Law (Federal Law No. 8 of 1984 (as amended)) or otherwise and is not intended to be a public offer and is addressed only to persons who are sophisticated investors.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Vietnam</w:t>
      </w:r>
    </w:p>
    <w:p>
      <w:pPr>
        <w:spacing w:after="0" w:line="162"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This offering of ADSs has not been and will not be registered with the State Securities Commission of Vietnam under the Law on Securities of Vietnam and its guiding decrees and circulars. The ADSs will not be offered or sold in Vietnam through a public offering and will not be offered or sold to Vietnamese persons other than those who are licensed to invest in offshore securities under the Law on Investment of Vietnam.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8" w:name="page209"/>
    <w:bookmarkEnd w:id="2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EXPENSES RELATING TO THIS OFFERING</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Nasdaq listing fee, all amounts are estimates. The company will pay all of the expenses of this offering.</w:t>
      </w:r>
    </w:p>
    <w:p>
      <w:pPr>
        <w:sectPr>
          <w:pgSz w:w="11900" w:h="16838" w:orient="portrait"/>
          <w:cols w:equalWidth="0" w:num="1">
            <w:col w:w="9879"/>
          </w:cols>
          <w:pgMar w:left="580" w:top="97" w:right="1440" w:bottom="1440" w:gutter="0" w:footer="0" w:header="0"/>
        </w:sectPr>
      </w:pPr>
    </w:p>
    <w:p>
      <w:pPr>
        <w:spacing w:after="0" w:line="1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5212080" cy="1714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 Securities and Exchange Commission registration fee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FINRA filing fee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Miscellaneous costs</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tabs>
          <w:tab w:leader="none" w:pos="500" w:val="left"/>
          <w:tab w:leader="none" w:pos="12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Amount</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​​US$     72,389​</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​​US$   295,000​</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​​US$     71,424​</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​​US$   125,800​</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​​US$4,880,000​</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​​US$1,010,000​</w:t>
      </w:r>
    </w:p>
    <w:p>
      <w:pPr>
        <w:ind w:left="60"/>
        <w:spacing w:after="0" w:line="190"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US$   300,000</w:t>
      </w:r>
      <w:r>
        <w:rPr>
          <w:rFonts w:ascii="Times New Roman" w:cs="Times New Roman" w:eastAsia="Times New Roman" w:hAnsi="Times New Roman"/>
          <w:sz w:val="35"/>
          <w:szCs w:val="35"/>
          <w:color w:val="auto"/>
          <w:vertAlign w:val="subscript"/>
        </w:rPr>
        <w:t>​</w:t>
      </w:r>
    </w:p>
    <w:p>
      <w:pPr>
        <w:ind w:left="60"/>
        <w:spacing w:after="0" w:line="185" w:lineRule="auto"/>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US$6,754,613</w:t>
      </w:r>
      <w:r>
        <w:rPr>
          <w:rFonts w:ascii="Times New Roman" w:cs="Times New Roman" w:eastAsia="Times New Roman" w:hAnsi="Times New Roman"/>
          <w:sz w:val="35"/>
          <w:szCs w:val="35"/>
          <w:b w:val="1"/>
          <w:bCs w:val="1"/>
          <w:color w:val="auto"/>
          <w:vertAlign w:val="subscript"/>
        </w:rPr>
        <w:t>​</w:t>
      </w:r>
    </w:p>
    <w:p>
      <w:pPr>
        <w:spacing w:after="0" w:line="200" w:lineRule="exact"/>
        <w:rPr>
          <w:sz w:val="20"/>
          <w:szCs w:val="20"/>
          <w:color w:val="auto"/>
        </w:rPr>
      </w:pPr>
    </w:p>
    <w:p>
      <w:pPr>
        <w:sectPr>
          <w:pgSz w:w="11900" w:h="16838" w:orient="portrait"/>
          <w:cols w:equalWidth="0" w:num="2">
            <w:col w:w="7460" w:space="720"/>
            <w:col w:w="16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9" w:name="page210"/>
    <w:bookmarkEnd w:id="2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are being represented by Davis Polk &amp; Wardwell LLP with respect to certain legal matters of U.S. federal securities and New York state law. Certain legal matters with respect to U.S. federal securities and New York State law in connection with this offering will be passed upon for the underwriters by Cleary Gottlieb Steen &amp; Hamilton LLP. The validity of the Class A ordinary shares represented by the ADSs offered in this offering and other certain legal matters as to Cayman Islands law will be passed upon for us by Maples and Calder (Hong Kong) LLP. Legal matters as to PRC law will be passed upon for us by King &amp; Wood Mallesons and for the underwriters by Fangda Partners. Davis Polk &amp; Wardwell LLP may rely upon Maples and Calder (Hong Kong) LLP with respect to matters governed by Cayman Islands law and King &amp; Wood Mallesons with respect to matters governed by PRC law. Cleary Gottlieb Steen &amp; Hamilton LLP may rely upon Fangda Partners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0" w:name="page211"/>
    <w:bookmarkEnd w:id="2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Chagee Holdings Limited as of December 31, 2023 and 2024, and for each of the years in the three-year period ended December 31, 2024, have been included herein and in the registration statement in reliance upon the report of KPMG Huazhen LLP, independent registered public accounting firm, appearing elsewhere herein, and upon the authority of said firm as experts in accounting and auditing.</w:t>
      </w:r>
    </w:p>
    <w:p>
      <w:pPr>
        <w:spacing w:after="0" w:line="116"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registered business address of KPMG Huazhen LLP is 8th Floor, KPMG Tower, Oriental Plaza 1 East Chang An Avenue, Beijing 100738, 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1" w:name="page212"/>
    <w:bookmarkEnd w:id="2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CHANGE IN REGISTRANT’S CERTIFYING ACCOUNTANT</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On October 30, 2024, our board of directors decided to dismiss PricewaterhouseCoopers Zhong Tian LLP, or PwC, our prior independent registered public accounting firm, and appointed KPMG Huazhen LLP, or KPMG, as our new independent registered public accounting firm.</w:t>
      </w:r>
    </w:p>
    <w:p>
      <w:pPr>
        <w:spacing w:after="0" w:line="108"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reports of PwC on our consolidated financial statements for each of the years ended December 31, 2022 and 2023 did not contain an adverse opinion or a disclaimer of opinion, and was not qualified or modified as to uncertainty, audit scope, or accounting principles. During the years ended December 31, 2022 and 2023 and the subsequent interim period through October 30, 2024, (i) there had been no “disagreements” (as the term is defined in Item 16F(a)(1)(iv) of Form 20-F) between PwC and us on any matter of accounting principles or practices, financial statement disclosure or auditing scope or procedure, which disagreements if not resolved to the satisfaction of PwC would have caused them to make a reference thereto in their reports on the financial statements for such years, and (ii) during the years ended December 31, 2022 and 2023 and the subsequent interim period through October 30, 2024, there have been no “reportable events” as the term is defined in Item 16F(a)(1)(v) of Form 20-F, except for the material weaknesses in the Company’s internal control over financial reporting related to: (1) not having sufficient written period-end closing policies and procedures for the preparation of our consolidated financial statements and (2) not having sufficient financial reporting and accounting personnel with appropriate knowledge of accounting principles generally accepted in U.S. GAAP to (i) properly address complex accounting transactions, and (ii) prepare and review consolidated financial statements and related disclosures in accordance with U.S. GAAP.</w:t>
      </w:r>
    </w:p>
    <w:p>
      <w:pPr>
        <w:spacing w:after="0" w:line="331"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Our board of directors has discussed the above material weaknesses with PwC and we have authorized PwC to respond fully to the inquiries made by KPMG concerning the subject matter of each such reportable event.</w:t>
      </w:r>
    </w:p>
    <w:p>
      <w:pPr>
        <w:spacing w:after="0" w:line="322"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We provided a copy of this disclosure to PwC and requested it to furnish us with a letter addressed to the SEC stating whether it agrees with the above statements, and if not, stating the respects in which it does not agree. PwC furnished such letter dated December 13, 2024 as the Exhibit 16.1 to this registration statement.</w:t>
      </w:r>
    </w:p>
    <w:p>
      <w:pPr>
        <w:spacing w:after="0" w:line="33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2022 and 2023, and the subsequent interim period through October 30, 2024, neither we nor any person on our behalf consulted with KPMG regarding either (i) the application of accounting principles to a specific completed or contemplated transaction, or the type of audit opinion that might be rendered on our financial statements and no written or oral advice was provided by KPMG was an important factor considered by us in reaching a decision as to any accounting, auditing or financial reporting issue, or (ii) any matter that was the subject of a disagreement or reportable event as defined in the Form 20-F.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2" w:name="page213"/>
    <w:bookmarkEnd w:id="2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have filed with the U.S. Securities and Exchange Commission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24"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Upon completion of this offering, we will become subject to the informational requirements of the Exchange Act. Accordingly, we will be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w:t>
      </w:r>
    </w:p>
    <w:p>
      <w:pPr>
        <w:spacing w:after="0" w:line="32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3" w:name="page214"/>
    <w:bookmarkEnd w:id="2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Report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Consolidated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Balance Sheets as of December 31,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3346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212080" cy="33464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Consolidated Statements of Operations and Comprehensive (Loss)/Income for the years ended</w:t>
      </w:r>
    </w:p>
    <w:p>
      <w:pPr>
        <w:spacing w:after="0" w:line="23" w:lineRule="exact"/>
        <w:rPr>
          <w:sz w:val="20"/>
          <w:szCs w:val="20"/>
          <w:color w:val="auto"/>
        </w:rPr>
      </w:pPr>
    </w:p>
    <w:p>
      <w:pPr>
        <w:ind w:left="1440" w:hanging="180"/>
        <w:spacing w:after="0"/>
        <w:tabs>
          <w:tab w:leader="none" w:pos="14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December 31, 2022, 2023 and 2024</w:t>
      </w:r>
    </w:p>
    <w:p>
      <w:pPr>
        <w:spacing w:after="0" w:line="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Consolidated Statements of Changes in Shareholders’ (Deficit)/Equity for the years ended</w:t>
      </w:r>
    </w:p>
    <w:p>
      <w:pPr>
        <w:spacing w:after="0" w:line="27" w:lineRule="exact"/>
        <w:rPr>
          <w:sz w:val="20"/>
          <w:szCs w:val="20"/>
          <w:color w:val="auto"/>
        </w:rPr>
      </w:pPr>
    </w:p>
    <w:p>
      <w:pPr>
        <w:ind w:left="1440" w:hanging="180"/>
        <w:spacing w:after="0"/>
        <w:tabs>
          <w:tab w:leader="none" w:pos="14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December 31, 2022,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EE"/>
        </w:rPr>
        <w:t>Consolidated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Statements of Cash Flows for the years ended December 31, 2022, 2023 and 2024</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Notes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227266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F-2</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F-4</w:t>
      </w:r>
      <w:r>
        <w:rPr>
          <w:rFonts w:ascii="Times New Roman" w:cs="Times New Roman" w:eastAsia="Times New Roman" w:hAnsi="Times New Roman"/>
          <w:sz w:val="18"/>
          <w:szCs w:val="18"/>
          <w:color w:val="auto"/>
        </w:rPr>
        <w: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F-6</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F-8</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F-13</w:t>
      </w:r>
      <w:r>
        <w:rPr>
          <w:rFonts w:ascii="Times New Roman" w:cs="Times New Roman" w:eastAsia="Times New Roman" w:hAnsi="Times New Roman"/>
          <w:sz w:val="18"/>
          <w:szCs w:val="18"/>
          <w:color w:val="auto"/>
        </w:rPr>
        <w:t>​</w:t>
      </w:r>
    </w:p>
    <w:p>
      <w:pPr>
        <w:sectPr>
          <w:pgSz w:w="11900" w:h="16838" w:orient="portrait"/>
          <w:cols w:equalWidth="0" w:num="2">
            <w:col w:w="8480" w:space="460"/>
            <w:col w:w="939"/>
          </w:cols>
          <w:pgMar w:left="580" w:top="97" w:right="1440" w:bottom="1440" w:gutter="0" w:footer="0" w:header="0"/>
        </w:sectPr>
      </w:pPr>
    </w:p>
    <w:bookmarkStart w:id="214" w:name="page215"/>
    <w:bookmarkEnd w:id="2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Chagee Holdings Limited:</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46"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Chagee Holdings Limited and subsidiaries (the Company) as of December 31, 2023 and 2024, the related consolidated statements of operations and comprehensive (loss)/income, changes in shareholders’ (deficit)/equity,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2023 and 2024, and the results of its operations and its cash flows for each of the years in the three-year period ended December 31, 2024, in conformity with U.S. generally accepted accounting principles.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6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4"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160"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Valuation of share-based compensation awards</w:t>
      </w:r>
    </w:p>
    <w:p>
      <w:pPr>
        <w:spacing w:after="0" w:line="160"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As discussed in Notes 2(aa) and 17 to the consolidated financial statements, the options granted by the Company under 2024 Plan are subject to service conditions and initial public offering (“IPO”) as performance condition, therefore cumulative share-based compensation costs for the awards that have satisfied the service condition will be recorded upon the completion of the IPO based on their grant date fair values. The Company granted share options under 2024 Plan to assume all the outstanding share options issued under the 2021 Plan with certain modifications. In addition, the Company granted additional options under 2024 Plan to certain employees. There was RMB488.0 million of unrecognized share- based compensation expense as of December 31, 2024. The fair values of share options are estimated on the grant dates using the binomial option pricing model. The binomial option pricing model used by management, took into account, among other considerations, fair values of the underlying ordinary shares, derived using the present values of future discounted cash flows.</w:t>
      </w:r>
    </w:p>
    <w:p>
      <w:pPr>
        <w:spacing w:after="0" w:line="200" w:lineRule="exact"/>
        <w:rPr>
          <w:sz w:val="20"/>
          <w:szCs w:val="20"/>
          <w:color w:val="auto"/>
        </w:rPr>
      </w:pPr>
    </w:p>
    <w:p>
      <w:pPr>
        <w:spacing w:after="0" w:line="38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5" w:name="page216"/>
    <w:bookmarkEnd w:id="2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We identified the valuation of share-based compensation awards as a critical audit matter. Subjective and challenging auditor judgment was required to evaluate the revenue growth rates and earnings before interest and tax(“EBIT”) margins used in the Company’s estimates of fair values of the underlying ordinary shares. In addition, specialized skills and knowledge were required to evaluate the discount rate used in such estimate.</w:t>
      </w:r>
    </w:p>
    <w:p>
      <w:pPr>
        <w:spacing w:after="0" w:line="335"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Company’s forecasted revenue growth rates and EBIT margins by (i) comparing them to those of comparable companies; (ii) comparing the Company’s historical forecasts on revenue growth rates and EBIT margins to actual results to assess the Company’s ability to accurately forecast. We involved valuation professionals with specialized skills and knowledge, who assisted in evaluating the discount rate by comparing it to a discount rate range that was independently developed using publicly available market data for comparable entities.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Sufficiency of audit evidence over net revenues from sales of products</w:t>
      </w:r>
    </w:p>
    <w:p>
      <w:pPr>
        <w:spacing w:after="0" w:line="160"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As discussed in Notes 2(s) and 14 to the consolidated financial statements, the Company recorded RMB10,789.0 million of net revenues from sales of products for the year ended December 31, 2024.</w:t>
      </w:r>
    </w:p>
    <w:p>
      <w:pPr>
        <w:spacing w:after="0" w:line="81"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obtained over net revenues from sales of products as a critical audit matter. Evaluating the sufficiency of audit evidence obtained required subjective auditor judgment due to large volume of transactions. This included determining the procedures performed and evaluating the nature and extent of evidence obtained.</w:t>
      </w:r>
    </w:p>
    <w:p>
      <w:pPr>
        <w:spacing w:after="0" w:line="11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nature and extent of procedures to be performed over net revenues from sales of products. We (i) evaluated the design of certain internal controls related to recognition of net revenues from sales of products; (ii) assessed the recorded net revenues from sales of products by selecting a sample of revenue transactions and comparing the amounts recognized with external confirmations, or delivery notes, sales orders and invoices; and (iii) evaluated the sufficiency of audit evidence obtained over net revenues from sales of products by assessing the results of the procedures performed, including the appropriateness of the nature and extent of such evidence.</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Beijing, China</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11,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6" w:name="page217"/>
    <w:bookmarkEnd w:id="2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or otherwise noted)</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5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jc w:val="right"/>
              <w:ind w:right="272"/>
              <w:spacing w:after="0" w:line="158"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91"/>
              <w:spacing w:after="0" w:line="158"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(Note 2(f))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2,322,680​​</w:t>
            </w:r>
          </w:p>
        </w:tc>
        <w:tc>
          <w:tcPr>
            <w:tcW w:w="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4,754,783​​</w:t>
            </w:r>
          </w:p>
        </w:tc>
        <w:tc>
          <w:tcPr>
            <w:tcW w:w="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651,403</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13,898​​</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92,769​​</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121,967​​</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41,492​​</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132,069​​</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18,093</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91,286​​</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315,404​​</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43,210</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​​2,648,227​​</w:t>
            </w: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​​5,439,668​​</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​745,231 ​</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09"/>
        </w:trPr>
        <w:tc>
          <w:tcPr>
            <w:tcW w:w="54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33,415​​</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249,003​​</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34,113</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126,337​​</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253,210​​</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34,690</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114,223​​</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542,202​​</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18,954​​</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89,343​​</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12,240</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294,929​​</w:t>
            </w:r>
          </w:p>
        </w:tc>
        <w:tc>
          <w:tcPr>
            <w:tcW w:w="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​​1,156,438​​</w:t>
            </w:r>
          </w:p>
        </w:tc>
        <w:tc>
          <w:tcPr>
            <w:tcW w:w="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​158,431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5"/>
          </w:tcPr>
          <w:p>
            <w:pPr>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​2,943,156</w:t>
            </w:r>
            <w:r>
              <w:rPr>
                <w:rFonts w:ascii="Times New Roman" w:cs="Times New Roman" w:eastAsia="Times New Roman" w:hAnsi="Times New Roman"/>
                <w:sz w:val="25"/>
                <w:szCs w:val="25"/>
                <w:b w:val="1"/>
                <w:bCs w:val="1"/>
                <w:color w:val="auto"/>
                <w:vertAlign w:val="subscript"/>
              </w:rPr>
              <w:t>​​</w:t>
            </w:r>
          </w:p>
        </w:tc>
        <w:tc>
          <w:tcPr>
            <w:tcW w:w="980" w:type="dxa"/>
            <w:vAlign w:val="bottom"/>
            <w:gridSpan w:val="4"/>
          </w:tcPr>
          <w:p>
            <w:pPr>
              <w:ind w:left="2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​6,596,106</w:t>
            </w:r>
            <w:r>
              <w:rPr>
                <w:rFonts w:ascii="Times New Roman" w:cs="Times New Roman" w:eastAsia="Times New Roman" w:hAnsi="Times New Roman"/>
                <w:sz w:val="25"/>
                <w:szCs w:val="25"/>
                <w:b w:val="1"/>
                <w:bCs w:val="1"/>
                <w:color w:val="auto"/>
                <w:vertAlign w:val="subscript"/>
              </w:rPr>
              <w:t>​​</w:t>
            </w:r>
          </w:p>
        </w:tc>
        <w:tc>
          <w:tcPr>
            <w:tcW w:w="76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4"/>
                <w:szCs w:val="14"/>
                <w:b w:val="1"/>
                <w:bCs w:val="1"/>
                <w:color w:val="auto"/>
              </w:rPr>
              <w:t xml:space="preserve">​903,662 </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equity</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3"/>
        </w:trPr>
        <w:tc>
          <w:tcPr>
            <w:tcW w:w="54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448,319​​</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597,091​​</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205,822​​</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265,341​​</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36,351</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280,882​​</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217,387​​</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29,782</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52,593​​</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195,438​​</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26,775</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467,288​​</w:t>
            </w:r>
          </w:p>
        </w:tc>
        <w:tc>
          <w:tcPr>
            <w:tcW w:w="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​​1,022,671​​</w:t>
            </w:r>
          </w:p>
        </w:tc>
        <w:tc>
          <w:tcPr>
            <w:tcW w:w="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140,105</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​​1,454,904​​</w:t>
            </w: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​​2,297,928​​</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​314,814 ​</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136,085​​</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257,305​​</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35,250</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56,245​​</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352,618​​</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48,308</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192,330​​</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609,923​​</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 83,558 ​</w:t>
            </w:r>
          </w:p>
        </w:tc>
        <w:tc>
          <w:tcPr>
            <w:tcW w:w="0" w:type="dxa"/>
            <w:vAlign w:val="bottom"/>
          </w:tcPr>
          <w:p>
            <w:pPr>
              <w:spacing w:after="0"/>
              <w:rPr>
                <w:sz w:val="1"/>
                <w:szCs w:val="1"/>
                <w:color w:val="auto"/>
              </w:rPr>
            </w:pPr>
          </w:p>
        </w:tc>
      </w:tr>
      <w:tr>
        <w:trPr>
          <w:trHeight w:val="20"/>
        </w:trPr>
        <w:tc>
          <w:tcPr>
            <w:tcW w:w="5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5"/>
            <w:shd w:val="clear" w:color="auto" w:fill="CCEEFF"/>
          </w:tcPr>
          <w:p>
            <w:pPr>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​1,647,234</w:t>
            </w:r>
            <w:r>
              <w:rPr>
                <w:rFonts w:ascii="Times New Roman" w:cs="Times New Roman" w:eastAsia="Times New Roman" w:hAnsi="Times New Roman"/>
                <w:sz w:val="25"/>
                <w:szCs w:val="25"/>
                <w:b w:val="1"/>
                <w:bCs w:val="1"/>
                <w:color w:val="auto"/>
                <w:vertAlign w:val="subscript"/>
              </w:rPr>
              <w:t>​​</w:t>
            </w:r>
          </w:p>
        </w:tc>
        <w:tc>
          <w:tcPr>
            <w:tcW w:w="980" w:type="dxa"/>
            <w:vAlign w:val="bottom"/>
            <w:gridSpan w:val="4"/>
            <w:shd w:val="clear" w:color="auto" w:fill="CCEEFF"/>
          </w:tcPr>
          <w:p>
            <w:pPr>
              <w:ind w:left="2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​2,907,851</w:t>
            </w:r>
            <w:r>
              <w:rPr>
                <w:rFonts w:ascii="Times New Roman" w:cs="Times New Roman" w:eastAsia="Times New Roman" w:hAnsi="Times New Roman"/>
                <w:sz w:val="25"/>
                <w:szCs w:val="25"/>
                <w:b w:val="1"/>
                <w:bCs w:val="1"/>
                <w:color w:val="auto"/>
                <w:vertAlign w:val="subscript"/>
              </w:rPr>
              <w:t>​​</w:t>
            </w:r>
          </w:p>
        </w:tc>
        <w:tc>
          <w:tcPr>
            <w:tcW w:w="680" w:type="dxa"/>
            <w:vAlign w:val="bottom"/>
            <w:gridSpan w:val="3"/>
            <w:shd w:val="clear" w:color="auto" w:fill="CCEEFF"/>
          </w:tcPr>
          <w:p>
            <w:pPr>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4"/>
                <w:szCs w:val="14"/>
                <w:b w:val="1"/>
                <w:bCs w:val="1"/>
                <w:color w:val="auto"/>
              </w:rPr>
              <w:t>​398,372</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6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Commitments and contingencies (Note 22)</w:t>
            </w:r>
          </w:p>
        </w:tc>
        <w:tc>
          <w:tcPr>
            <w:tcW w:w="140" w:type="dxa"/>
            <w:vAlign w:val="bottom"/>
            <w:vMerge w:val="restart"/>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63"/>
        </w:trPr>
        <w:tc>
          <w:tcPr>
            <w:tcW w:w="54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60" w:type="dxa"/>
            <w:vAlign w:val="bottom"/>
            <w:gridSpan w:val="2"/>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80" w:type="dxa"/>
            <w:vAlign w:val="bottom"/>
            <w:gridSpan w:val="2"/>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5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convertible redeemable preferred shares “Series A Preferred</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(US$0.0001 par value; 34,833,028 shares authorized,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 and outstanding as of December 31, 2023 and 2024, with</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redemption value of RMB212,421 and RMB231,944 as of</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2023 and 2024, respectively)</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212,421​​ ​</w:t>
            </w:r>
            <w:r>
              <w:rPr>
                <w:rFonts w:ascii="Times New Roman" w:cs="Times New Roman" w:eastAsia="Times New Roman" w:hAnsi="Times New Roman"/>
                <w:sz w:val="18"/>
                <w:szCs w:val="18"/>
                <w:b w:val="1"/>
                <w:bCs w:val="1"/>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231,944​​ ​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31,776</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-5965825</wp:posOffset>
            </wp:positionV>
            <wp:extent cx="5212080" cy="1371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-2956560</wp:posOffset>
            </wp:positionV>
            <wp:extent cx="5212080" cy="13716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-830580</wp:posOffset>
            </wp:positionV>
            <wp:extent cx="5212080" cy="1454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-1148080</wp:posOffset>
            </wp:positionV>
            <wp:extent cx="1714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-1148080</wp:posOffset>
            </wp:positionV>
            <wp:extent cx="481774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817745" cy="825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-1310640</wp:posOffset>
            </wp:positionV>
            <wp:extent cx="1714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-1765300</wp:posOffset>
            </wp:positionV>
            <wp:extent cx="5212080" cy="1460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-1927860</wp:posOffset>
            </wp:positionV>
            <wp:extent cx="1714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-3136900</wp:posOffset>
            </wp:positionV>
            <wp:extent cx="1714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-3299460</wp:posOffset>
            </wp:positionV>
            <wp:extent cx="1714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-3299460</wp:posOffset>
            </wp:positionV>
            <wp:extent cx="481774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8177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-4482465</wp:posOffset>
            </wp:positionV>
            <wp:extent cx="5212080" cy="1454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-4645660</wp:posOffset>
            </wp:positionV>
            <wp:extent cx="1714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4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7" w:name="page218"/>
    <w:bookmarkEnd w:id="2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or otherwise noted)</w:t>
      </w:r>
    </w:p>
    <w:p>
      <w:pPr>
        <w:spacing w:after="0" w:line="187"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20" w:type="dxa"/>
            <w:vAlign w:val="bottom"/>
            <w:tcBorders>
              <w:bottom w:val="single" w:sz="8" w:color="auto"/>
            </w:tcBorders>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5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center"/>
              <w:ind w:left="13"/>
              <w:spacing w:after="0" w:line="158"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33"/>
              <w:spacing w:after="0" w:line="158"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92"/>
              <w:spacing w:after="0" w:line="158"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spacing w:after="0"/>
              <w:rPr>
                <w:sz w:val="16"/>
                <w:szCs w:val="16"/>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 (Note 2(f)) ​</w:t>
            </w:r>
          </w:p>
        </w:tc>
        <w:tc>
          <w:tcPr>
            <w:tcW w:w="0" w:type="dxa"/>
            <w:vAlign w:val="bottom"/>
          </w:tcPr>
          <w:p>
            <w:pPr>
              <w:spacing w:after="0"/>
              <w:rPr>
                <w:sz w:val="1"/>
                <w:szCs w:val="1"/>
                <w:color w:val="auto"/>
              </w:rPr>
            </w:pPr>
          </w:p>
        </w:tc>
      </w:tr>
      <w:tr>
        <w:trPr>
          <w:trHeight w:val="211"/>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B convertible redeemable preferred shares (“Series B Preferred</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(US$0.0001 par value; 14,914,404 shares authorized,</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as of December 31, 2023 and 2024, with</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redemption value of RMB213,608 and RMB234,715 as of</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2023 and 2024, respectively)</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213,608​​ ​</w:t>
            </w:r>
            <w:r>
              <w:rPr>
                <w:rFonts w:ascii="Times New Roman" w:cs="Times New Roman" w:eastAsia="Times New Roman" w:hAnsi="Times New Roman"/>
                <w:sz w:val="18"/>
                <w:szCs w:val="18"/>
                <w:b w:val="1"/>
                <w:bCs w:val="1"/>
                <w:color w:val="auto"/>
              </w:rPr>
              <w:t>​</w:t>
            </w:r>
          </w:p>
        </w:tc>
        <w:tc>
          <w:tcPr>
            <w:tcW w:w="92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234,715​​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32,156</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B+ convertible redeemable preferred shares (“Series B+</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Shares”) (US$0.0001 par value; 20,374,577 shares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authorized, issued and outstanding as of December 31, 2023 and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2024, with redemption value of RMB445,751 and RMB467,121 as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December 31, 2023 and 2024, respectively)</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445,751​​ ​</w:t>
            </w: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467,121​​ ​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63,995</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14,000​​ ​​</w:t>
            </w:r>
          </w:p>
        </w:tc>
        <w:tc>
          <w:tcPr>
            <w:tcW w:w="92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5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885,780​​ ​​</w:t>
            </w: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933,780​​ ​ ​127,927 ​</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vMerge w:val="continue"/>
          </w:tcPr>
          <w:p>
            <w:pPr>
              <w:spacing w:after="0"/>
              <w:rPr>
                <w:sz w:val="19"/>
                <w:szCs w:val="19"/>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Ordinary shares (US$0.0001 par value; 364,603,884 shares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authorized, 39,169,393 shares issued and outstanding as of</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2023; 364,603,884 shares authorized, 39,169,393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and 33,469,785 shares outstanding as of</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0"/>
                <w:szCs w:val="20"/>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27​​ ​ </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Ordinary shares (US$0.0001 par value; 65,274,107 shares</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issued and outstanding as of December 31, 2023 and</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 respectively)</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 ​</w:t>
            </w:r>
            <w:r>
              <w:rPr>
                <w:rFonts w:ascii="Times New Roman" w:cs="Times New Roman" w:eastAsia="Times New Roman" w:hAnsi="Times New Roman"/>
                <w:sz w:val="18"/>
                <w:szCs w:val="18"/>
                <w:b w:val="1"/>
                <w:bCs w:val="1"/>
                <w:color w:val="auto"/>
              </w:rPr>
              <w:t>​</w:t>
            </w:r>
          </w:p>
        </w:tc>
        <w:tc>
          <w:tcPr>
            <w:tcW w:w="92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49​​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1"/>
                <w:szCs w:val="21"/>
                <w:color w:val="auto"/>
              </w:rPr>
            </w:pPr>
          </w:p>
        </w:tc>
        <w:tc>
          <w:tcPr>
            <w:tcW w:w="20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(210,082​​)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(28,781)</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82,656​​ ​</w:t>
            </w:r>
            <w:r>
              <w:rPr>
                <w:rFonts w:ascii="Times New Roman" w:cs="Times New Roman" w:eastAsia="Times New Roman" w:hAnsi="Times New Roman"/>
                <w:sz w:val="18"/>
                <w:szCs w:val="18"/>
                <w:b w:val="1"/>
                <w:bCs w:val="1"/>
                <w:color w:val="auto"/>
              </w:rPr>
              <w:t>​</w:t>
            </w: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90,853​​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12,447</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Statutory reserve</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276​​ ​</w:t>
            </w: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18,437​​ ​ </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2,526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38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334,962​​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2,752,024​​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377,026</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55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Accumulated other comprehensive (loss)/income</w:t>
            </w: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74"/>
              <w:spacing w:after="0" w:line="202" w:lineRule="exact"/>
              <w:rPr>
                <w:sz w:val="20"/>
                <w:szCs w:val="20"/>
                <w:color w:val="auto"/>
              </w:rPr>
            </w:pPr>
            <w:r>
              <w:rPr>
                <w:rFonts w:ascii="Times New Roman" w:cs="Times New Roman" w:eastAsia="Times New Roman" w:hAnsi="Times New Roman"/>
                <w:sz w:val="18"/>
                <w:szCs w:val="18"/>
                <w:color w:val="auto"/>
              </w:rPr>
              <w:t>(9,159)</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2,597</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552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gridSpan w:val="2"/>
          </w:tcPr>
          <w:p>
            <w:pPr>
              <w:jc w:val="right"/>
              <w:ind w:right="60"/>
              <w:spacing w:after="0" w:line="54" w:lineRule="exact"/>
              <w:rPr>
                <w:sz w:val="20"/>
                <w:szCs w:val="20"/>
                <w:color w:val="auto"/>
              </w:rPr>
            </w:pPr>
            <w:r>
              <w:rPr>
                <w:rFonts w:ascii="Times New Roman" w:cs="Times New Roman" w:eastAsia="Times New Roman" w:hAnsi="Times New Roman"/>
                <w:sz w:val="6"/>
                <w:szCs w:val="6"/>
                <w:color w:val="auto"/>
              </w:rPr>
              <w:t>​​ ​​</w:t>
            </w:r>
          </w:p>
        </w:tc>
        <w:tc>
          <w:tcPr>
            <w:tcW w:w="64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5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of the Company</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238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408,811​​ ​​2,653,905​​ ​ ​363,585</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5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1,331​​ ​​</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100,570​​ ​ </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13,778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5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238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410,142​​ ​​2,754,475​​ ​ ​377,363</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5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2740" w:type="dxa"/>
            <w:vAlign w:val="bottom"/>
            <w:gridSpan w:val="11"/>
          </w:tcPr>
          <w:p>
            <w:pPr>
              <w:ind w:left="4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4"/>
                <w:szCs w:val="14"/>
                <w:b w:val="1"/>
                <w:bCs w:val="1"/>
                <w:color w:val="auto"/>
              </w:rPr>
              <w:t>​2,943,156</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4"/>
                <w:szCs w:val="14"/>
                <w:b w:val="1"/>
                <w:bCs w:val="1"/>
                <w:color w:val="auto"/>
              </w:rPr>
              <w:t>​6,596,106</w:t>
            </w:r>
            <w:r>
              <w:rPr>
                <w:rFonts w:ascii="Times New Roman" w:cs="Times New Roman" w:eastAsia="Times New Roman" w:hAnsi="Times New Roman"/>
                <w:sz w:val="25"/>
                <w:szCs w:val="25"/>
                <w:b w:val="1"/>
                <w:bCs w:val="1"/>
                <w:color w:val="auto"/>
                <w:vertAlign w:val="subscript"/>
              </w:rPr>
              <w:t>​​ ​ ​</w:t>
            </w:r>
            <w:r>
              <w:rPr>
                <w:rFonts w:ascii="Times New Roman" w:cs="Times New Roman" w:eastAsia="Times New Roman" w:hAnsi="Times New Roman"/>
                <w:sz w:val="14"/>
                <w:szCs w:val="14"/>
                <w:b w:val="1"/>
                <w:bCs w:val="1"/>
                <w:color w:val="auto"/>
              </w:rPr>
              <w:t xml:space="preserve">​903,662 </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5995035</wp:posOffset>
            </wp:positionH>
            <wp:positionV relativeFrom="paragraph">
              <wp:posOffset>-196215</wp:posOffset>
            </wp:positionV>
            <wp:extent cx="1714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-359410</wp:posOffset>
            </wp:positionV>
            <wp:extent cx="1714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-359410</wp:posOffset>
            </wp:positionV>
            <wp:extent cx="481774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817745" cy="889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-521970</wp:posOffset>
            </wp:positionV>
            <wp:extent cx="1714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-685165</wp:posOffset>
            </wp:positionV>
            <wp:extent cx="1714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-685165</wp:posOffset>
            </wp:positionV>
            <wp:extent cx="481774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8177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-2750820</wp:posOffset>
            </wp:positionV>
            <wp:extent cx="5212080" cy="15430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-2914015</wp:posOffset>
            </wp:positionV>
            <wp:extent cx="1714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8" w:name="page219"/>
    <w:bookmarkEnd w:id="2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(LOSS)/INCOME</w:t>
      </w: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or otherwise noted)</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7"/>
              </w:rPr>
              <w:t>For the Years ended December 31,</w:t>
            </w:r>
          </w:p>
        </w:tc>
        <w:tc>
          <w:tcPr>
            <w:tcW w:w="84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4"/>
        </w:trPr>
        <w:tc>
          <w:tcPr>
            <w:tcW w:w="4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(Note 2(f))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revenues from franchised teahouses (including</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transactions with related parties of RMB3,369,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RMB2,511 and RMB18,811 for the years ended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2022, 2023 and 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410,261​​​</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4,395,908​​​</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11,632,374​​​</w:t>
            </w: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1,593,629​</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revenues from company-owned teahouses</w:t>
            </w:r>
          </w:p>
        </w:tc>
        <w:tc>
          <w:tcPr>
            <w:tcW w:w="20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880" w:type="dxa"/>
            <w:vAlign w:val="bottom"/>
            <w:gridSpan w:val="3"/>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81,392</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1100" w:type="dxa"/>
            <w:vAlign w:val="bottom"/>
            <w:gridSpan w:val="3"/>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244,263</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1100" w:type="dxa"/>
            <w:vAlign w:val="bottom"/>
            <w:gridSpan w:val="3"/>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773,208</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491,653​​​​</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4,640,171​​​​</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12,405,582​​​​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1,699,558​</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materials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(291,230​​​)</w:t>
            </w: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(2,462,387​​​)</w:t>
            </w: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(6,012,922​​​)</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Company-owned teahouse operating costs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(54,901​​​)</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(106,379​​​)</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(467,320​​​)</w:t>
            </w: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(64,023​)</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Storage and logistics costs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(12,453​​​)</w:t>
            </w: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(99,867​​​)</w:t>
            </w: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(243,822​​​)</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costs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(75,775​​​)</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(272,773​​​)</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(572,621​​​)</w:t>
            </w: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(78,449​)</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(73,605​​​)</w:t>
            </w: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(261,563​​​)</w:t>
            </w: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(1,108,911​​​)</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7"/>
                <w:szCs w:val="17"/>
                <w:color w:val="auto"/>
              </w:rPr>
            </w:pPr>
          </w:p>
        </w:tc>
        <w:tc>
          <w:tcPr>
            <w:tcW w:w="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(99,530) ​</w:t>
            </w:r>
          </w:p>
        </w:tc>
        <w:tc>
          <w:tcPr>
            <w:tcW w:w="11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(363,099) ​</w:t>
            </w:r>
          </w:p>
        </w:tc>
        <w:tc>
          <w:tcPr>
            <w:tcW w:w="11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(1,113,387) ​</w:t>
            </w:r>
          </w:p>
        </w:tc>
        <w:tc>
          <w:tcPr>
            <w:tcW w:w="9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(152,533)</w:t>
            </w:r>
          </w:p>
        </w:tc>
        <w:tc>
          <w:tcPr>
            <w:tcW w:w="0" w:type="dxa"/>
            <w:vAlign w:val="bottom"/>
          </w:tcPr>
          <w:p>
            <w:pPr>
              <w:spacing w:after="0"/>
              <w:rPr>
                <w:sz w:val="1"/>
                <w:szCs w:val="1"/>
                <w:color w:val="auto"/>
              </w:rPr>
            </w:pPr>
          </w:p>
        </w:tc>
      </w:tr>
      <w:tr>
        <w:trPr>
          <w:trHeight w:val="68"/>
        </w:trPr>
        <w:tc>
          <w:tcPr>
            <w:tcW w:w="408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8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880" w:type="dxa"/>
            <w:vAlign w:val="bottom"/>
          </w:tcPr>
          <w:p>
            <w:pPr>
              <w:spacing w:after="0"/>
              <w:rPr>
                <w:sz w:val="5"/>
                <w:szCs w:val="5"/>
                <w:color w:val="auto"/>
              </w:rPr>
            </w:pPr>
          </w:p>
        </w:tc>
        <w:tc>
          <w:tcPr>
            <w:tcW w:w="2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860" w:type="dxa"/>
            <w:vAlign w:val="bottom"/>
          </w:tcPr>
          <w:p>
            <w:pPr>
              <w:spacing w:after="0"/>
              <w:rPr>
                <w:sz w:val="5"/>
                <w:szCs w:val="5"/>
                <w:color w:val="auto"/>
              </w:rPr>
            </w:pPr>
          </w:p>
        </w:tc>
        <w:tc>
          <w:tcPr>
            <w:tcW w:w="2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84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right w:val="single" w:sz="8" w:color="CCEEFF"/>
            </w:tcBorders>
            <w:shd w:val="clear" w:color="auto" w:fill="CCEEFF"/>
          </w:tcPr>
          <w:p>
            <w:pPr>
              <w:spacing w:after="0"/>
              <w:rPr>
                <w:sz w:val="17"/>
                <w:szCs w:val="17"/>
                <w:color w:val="auto"/>
              </w:rPr>
            </w:pPr>
          </w:p>
        </w:tc>
        <w:tc>
          <w:tcPr>
            <w:tcW w:w="96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 (607,494) ​</w:t>
            </w:r>
          </w:p>
        </w:tc>
        <w:tc>
          <w:tcPr>
            <w:tcW w:w="110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(3,566,068) ​</w:t>
            </w:r>
          </w:p>
        </w:tc>
        <w:tc>
          <w:tcPr>
            <w:tcW w:w="110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(9,518,983) ​</w:t>
            </w: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(1,304,095)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4080" w:type="dxa"/>
            <w:vAlign w:val="bottom"/>
            <w:shd w:val="clear" w:color="auto" w:fill="CCEEFF"/>
          </w:tcPr>
          <w:p>
            <w:pPr>
              <w:spacing w:after="0"/>
              <w:rPr>
                <w:sz w:val="5"/>
                <w:szCs w:val="5"/>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80" w:type="dxa"/>
            <w:vAlign w:val="bottom"/>
            <w:shd w:val="clear" w:color="auto" w:fill="CCEEFF"/>
          </w:tcPr>
          <w:p>
            <w:pPr>
              <w:spacing w:after="0"/>
              <w:rPr>
                <w:sz w:val="5"/>
                <w:szCs w:val="5"/>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80" w:type="dxa"/>
            <w:vAlign w:val="bottom"/>
            <w:shd w:val="clear" w:color="auto" w:fill="CCEEFF"/>
          </w:tcPr>
          <w:p>
            <w:pPr>
              <w:spacing w:after="0"/>
              <w:rPr>
                <w:sz w:val="5"/>
                <w:szCs w:val="5"/>
                <w:color w:val="auto"/>
              </w:rPr>
            </w:pPr>
          </w:p>
        </w:tc>
        <w:tc>
          <w:tcPr>
            <w:tcW w:w="22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60" w:type="dxa"/>
            <w:vAlign w:val="bottom"/>
            <w:shd w:val="clear" w:color="auto" w:fill="CCEEFF"/>
          </w:tcPr>
          <w:p>
            <w:pPr>
              <w:spacing w:after="0"/>
              <w:rPr>
                <w:sz w:val="5"/>
                <w:szCs w:val="5"/>
                <w:color w:val="auto"/>
              </w:rPr>
            </w:pPr>
          </w:p>
        </w:tc>
        <w:tc>
          <w:tcPr>
            <w:tcW w:w="24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4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(Loss)/income from operations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(115,841​​​​)</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1,074,103​​​​</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2,886,599​​​​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395,463​</w:t>
            </w: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change of forward contract related to</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Series B+ preferred shares (Note 19)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(105,483​​​)</w:t>
            </w: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Financial income, net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1,915​​​</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17,016​​​</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37,306​​​</w:t>
            </w: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 net</w:t>
            </w:r>
          </w:p>
        </w:tc>
        <w:tc>
          <w:tcPr>
            <w:tcW w:w="20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880" w:type="dxa"/>
            <w:vAlign w:val="bottom"/>
            <w:gridSpan w:val="3"/>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1,546</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1100" w:type="dxa"/>
            <w:vAlign w:val="bottom"/>
            <w:gridSpan w:val="3"/>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20,691</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1100" w:type="dxa"/>
            <w:vAlign w:val="bottom"/>
            <w:gridSpan w:val="3"/>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118,193</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(112,380​​​​)</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1,006,327​​​​</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3,042,098​​​​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416,766​</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Income tax benefit/(expense)</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21,664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(203,761) ​</w:t>
            </w:r>
          </w:p>
        </w:tc>
        <w:tc>
          <w:tcPr>
            <w:tcW w:w="110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(527,507) ​</w:t>
            </w: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(72,268)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4080" w:type="dxa"/>
            <w:vAlign w:val="bottom"/>
            <w:shd w:val="clear" w:color="auto" w:fill="CCEEFF"/>
          </w:tcPr>
          <w:p>
            <w:pPr>
              <w:spacing w:after="0"/>
              <w:rPr>
                <w:sz w:val="5"/>
                <w:szCs w:val="5"/>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80" w:type="dxa"/>
            <w:vAlign w:val="bottom"/>
            <w:shd w:val="clear" w:color="auto" w:fill="CCEEFF"/>
          </w:tcPr>
          <w:p>
            <w:pPr>
              <w:spacing w:after="0"/>
              <w:rPr>
                <w:sz w:val="5"/>
                <w:szCs w:val="5"/>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880" w:type="dxa"/>
            <w:vAlign w:val="bottom"/>
            <w:shd w:val="clear" w:color="auto" w:fill="CCEEFF"/>
          </w:tcPr>
          <w:p>
            <w:pPr>
              <w:spacing w:after="0"/>
              <w:rPr>
                <w:sz w:val="5"/>
                <w:szCs w:val="5"/>
                <w:color w:val="auto"/>
              </w:rPr>
            </w:pPr>
          </w:p>
        </w:tc>
        <w:tc>
          <w:tcPr>
            <w:tcW w:w="22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860" w:type="dxa"/>
            <w:vAlign w:val="bottom"/>
            <w:shd w:val="clear" w:color="auto" w:fill="CCEEFF"/>
          </w:tcPr>
          <w:p>
            <w:pPr>
              <w:spacing w:after="0"/>
              <w:rPr>
                <w:sz w:val="5"/>
                <w:szCs w:val="5"/>
                <w:color w:val="auto"/>
              </w:rPr>
            </w:pPr>
          </w:p>
        </w:tc>
        <w:tc>
          <w:tcPr>
            <w:tcW w:w="24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840" w:type="dxa"/>
            <w:vAlign w:val="bottom"/>
            <w:shd w:val="clear" w:color="auto" w:fill="CCEEFF"/>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(90,716​​​​)</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802,566​​​​</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2,514,591​​​​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344,498​</w:t>
            </w: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(17,368​​​)</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Add: Net loss attributable to redeemable non-</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18,891​​​​</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34"/>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controlling interests</w:t>
            </w:r>
          </w:p>
        </w:tc>
        <w:tc>
          <w:tcPr>
            <w:tcW w:w="200" w:type="dxa"/>
            <w:vAlign w:val="bottom"/>
            <w:gridSpan w:val="2"/>
            <w:vMerge w:val="continue"/>
          </w:tcPr>
          <w:p>
            <w:pPr>
              <w:spacing w:after="0"/>
              <w:rPr>
                <w:sz w:val="20"/>
                <w:szCs w:val="20"/>
                <w:color w:val="auto"/>
              </w:rPr>
            </w:pPr>
          </w:p>
        </w:tc>
        <w:tc>
          <w:tcPr>
            <w:tcW w:w="880" w:type="dxa"/>
            <w:vAlign w:val="bottom"/>
            <w:gridSpan w:val="3"/>
            <w:vMerge w:val="continue"/>
          </w:tcPr>
          <w:p>
            <w:pPr>
              <w:spacing w:after="0"/>
              <w:rPr>
                <w:sz w:val="20"/>
                <w:szCs w:val="20"/>
                <w:color w:val="auto"/>
              </w:rPr>
            </w:pPr>
          </w:p>
        </w:tc>
        <w:tc>
          <w:tcPr>
            <w:tcW w:w="1100" w:type="dxa"/>
            <w:vAlign w:val="bottom"/>
            <w:gridSpan w:val="3"/>
            <w:vMerge w:val="continue"/>
          </w:tcPr>
          <w:p>
            <w:pPr>
              <w:spacing w:after="0"/>
              <w:rPr>
                <w:sz w:val="20"/>
                <w:szCs w:val="20"/>
                <w:color w:val="auto"/>
              </w:rPr>
            </w:pPr>
          </w:p>
        </w:tc>
        <w:tc>
          <w:tcPr>
            <w:tcW w:w="1100" w:type="dxa"/>
            <w:vAlign w:val="bottom"/>
            <w:gridSpan w:val="3"/>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 attributable to the Company</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(90,716​​​​)</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800,903​​​​</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2,516,114​​​​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344,707​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convertible redeemable preferred shares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redemption value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(30,201​​​)</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(43,330​​​)</w:t>
            </w:r>
            <w:r>
              <w:rPr>
                <w:rFonts w:ascii="Times New Roman" w:cs="Times New Roman" w:eastAsia="Times New Roman" w:hAnsi="Times New Roman"/>
                <w:sz w:val="18"/>
                <w:szCs w:val="18"/>
                <w:b w:val="1"/>
                <w:bCs w:val="1"/>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(62,000​​​)</w:t>
            </w: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undeclared dividends on convertible</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shares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w:t>
            </w: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(32,081​​​)</w:t>
            </w: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(51,032​​​)</w:t>
            </w: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redeemable non-controlling interests to</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(18,891)</w:t>
            </w:r>
          </w:p>
        </w:tc>
        <w:tc>
          <w:tcPr>
            <w:tcW w:w="120" w:type="dxa"/>
            <w:vAlign w:val="bottom"/>
          </w:tcPr>
          <w:p>
            <w:pPr>
              <w:spacing w:after="0"/>
              <w:rPr>
                <w:sz w:val="19"/>
                <w:szCs w:val="19"/>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153"/>
        </w:trPr>
        <w:tc>
          <w:tcPr>
            <w:tcW w:w="40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redemption value</w:t>
            </w:r>
          </w:p>
        </w:tc>
        <w:tc>
          <w:tcPr>
            <w:tcW w:w="2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408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840" w:type="dxa"/>
            <w:vAlign w:val="bottom"/>
          </w:tcPr>
          <w:p>
            <w:pPr>
              <w:spacing w:after="0"/>
              <w:rPr>
                <w:sz w:val="7"/>
                <w:szCs w:val="7"/>
                <w:color w:val="auto"/>
              </w:rPr>
            </w:pPr>
          </w:p>
        </w:tc>
        <w:tc>
          <w:tcPr>
            <w:tcW w:w="6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20"/>
        </w:trPr>
        <w:tc>
          <w:tcPr>
            <w:tcW w:w="4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 attributable to the Company’s</w:t>
            </w: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80" w:type="dxa"/>
            <w:vAlign w:val="bottom"/>
            <w:vMerge w:val="continue"/>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(145,317) ​</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725,492</w:t>
            </w:r>
          </w:p>
        </w:tc>
        <w:tc>
          <w:tcPr>
            <w:tcW w:w="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2,384,191</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08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b w:val="1"/>
                <w:bCs w:val="1"/>
                <w:color w:val="auto"/>
              </w:rPr>
              <w:t>ordinary shareholders</w:t>
            </w:r>
          </w:p>
        </w:tc>
        <w:tc>
          <w:tcPr>
            <w:tcW w:w="120" w:type="dxa"/>
            <w:vAlign w:val="bottom"/>
            <w:tcBorders>
              <w:right w:val="single" w:sz="8" w:color="CCEEFF"/>
            </w:tcBorders>
            <w:shd w:val="clear" w:color="auto" w:fill="CCEEFF"/>
          </w:tcPr>
          <w:p>
            <w:pPr>
              <w:spacing w:after="0"/>
              <w:rPr>
                <w:sz w:val="16"/>
                <w:szCs w:val="16"/>
                <w:color w:val="auto"/>
              </w:rPr>
            </w:pPr>
          </w:p>
        </w:tc>
        <w:tc>
          <w:tcPr>
            <w:tcW w:w="960" w:type="dxa"/>
            <w:vAlign w:val="bottom"/>
            <w:gridSpan w:val="4"/>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7"/>
        </w:trPr>
        <w:tc>
          <w:tcPr>
            <w:tcW w:w="4080" w:type="dxa"/>
            <w:vAlign w:val="bottom"/>
            <w:shd w:val="clear" w:color="auto" w:fill="CCEEFF"/>
          </w:tcPr>
          <w:p>
            <w:pPr>
              <w:spacing w:after="0"/>
              <w:rPr>
                <w:sz w:val="7"/>
                <w:szCs w:val="7"/>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80" w:type="dxa"/>
            <w:vAlign w:val="bottom"/>
            <w:shd w:val="clear" w:color="auto" w:fill="CCEEFF"/>
          </w:tcPr>
          <w:p>
            <w:pPr>
              <w:spacing w:after="0"/>
              <w:rPr>
                <w:sz w:val="7"/>
                <w:szCs w:val="7"/>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80" w:type="dxa"/>
            <w:vAlign w:val="bottom"/>
            <w:shd w:val="clear" w:color="auto" w:fill="CCEEFF"/>
          </w:tcPr>
          <w:p>
            <w:pPr>
              <w:spacing w:after="0"/>
              <w:rPr>
                <w:sz w:val="7"/>
                <w:szCs w:val="7"/>
                <w:color w:val="auto"/>
              </w:rPr>
            </w:pPr>
          </w:p>
        </w:tc>
        <w:tc>
          <w:tcPr>
            <w:tcW w:w="22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60" w:type="dxa"/>
            <w:vAlign w:val="bottom"/>
            <w:shd w:val="clear" w:color="auto" w:fill="CCEEFF"/>
          </w:tcPr>
          <w:p>
            <w:pPr>
              <w:spacing w:after="0"/>
              <w:rPr>
                <w:sz w:val="7"/>
                <w:szCs w:val="7"/>
                <w:color w:val="auto"/>
              </w:rPr>
            </w:pPr>
          </w:p>
        </w:tc>
        <w:tc>
          <w:tcPr>
            <w:tcW w:w="24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40" w:type="dxa"/>
            <w:vAlign w:val="bottom"/>
            <w:shd w:val="clear" w:color="auto" w:fill="CCEEFF"/>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80" w:type="dxa"/>
            <w:vAlign w:val="bottom"/>
            <w:vMerge w:val="continue"/>
          </w:tcPr>
          <w:p>
            <w:pPr>
              <w:spacing w:after="0"/>
              <w:rPr>
                <w:sz w:val="16"/>
                <w:szCs w:val="16"/>
                <w:color w:val="auto"/>
              </w:rPr>
            </w:pPr>
          </w:p>
        </w:tc>
        <w:tc>
          <w:tcPr>
            <w:tcW w:w="20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(90,716​​​​)</w:t>
            </w:r>
          </w:p>
        </w:tc>
        <w:tc>
          <w:tcPr>
            <w:tcW w:w="110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802,566​​​​</w:t>
            </w:r>
          </w:p>
        </w:tc>
        <w:tc>
          <w:tcPr>
            <w:tcW w:w="110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2,514,591​​​​</w:t>
            </w:r>
          </w:p>
        </w:tc>
        <w:tc>
          <w:tcPr>
            <w:tcW w:w="90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344,498​</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(loss)/income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408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Pr>
          <w:p>
            <w:pPr>
              <w:spacing w:after="0"/>
              <w:rPr>
                <w:sz w:val="17"/>
                <w:szCs w:val="17"/>
                <w:color w:val="auto"/>
              </w:rPr>
            </w:pPr>
          </w:p>
        </w:tc>
        <w:tc>
          <w:tcPr>
            <w:tcW w:w="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(9,159) ​</w:t>
            </w: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11,756</w:t>
            </w:r>
          </w:p>
        </w:tc>
        <w:tc>
          <w:tcPr>
            <w:tcW w:w="1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1,611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08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8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880" w:type="dxa"/>
            <w:vAlign w:val="bottom"/>
          </w:tcPr>
          <w:p>
            <w:pPr>
              <w:spacing w:after="0"/>
              <w:rPr>
                <w:sz w:val="5"/>
                <w:szCs w:val="5"/>
                <w:color w:val="auto"/>
              </w:rPr>
            </w:pPr>
          </w:p>
        </w:tc>
        <w:tc>
          <w:tcPr>
            <w:tcW w:w="2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860" w:type="dxa"/>
            <w:vAlign w:val="bottom"/>
          </w:tcPr>
          <w:p>
            <w:pPr>
              <w:spacing w:after="0"/>
              <w:rPr>
                <w:sz w:val="5"/>
                <w:szCs w:val="5"/>
                <w:color w:val="auto"/>
              </w:rPr>
            </w:pPr>
          </w:p>
        </w:tc>
        <w:tc>
          <w:tcPr>
            <w:tcW w:w="2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8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5326380</wp:posOffset>
            </wp:positionH>
            <wp:positionV relativeFrom="paragraph">
              <wp:posOffset>-805180</wp:posOffset>
            </wp:positionV>
            <wp:extent cx="7683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-805180</wp:posOffset>
            </wp:positionV>
            <wp:extent cx="7747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-805180</wp:posOffset>
            </wp:positionV>
            <wp:extent cx="323151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231515" cy="889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-1833880</wp:posOffset>
            </wp:positionV>
            <wp:extent cx="7683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-1833880</wp:posOffset>
            </wp:positionV>
            <wp:extent cx="7747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-1833880</wp:posOffset>
            </wp:positionV>
            <wp:extent cx="323151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231515" cy="889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-3839845</wp:posOffset>
            </wp:positionV>
            <wp:extent cx="7683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-3839845</wp:posOffset>
            </wp:positionV>
            <wp:extent cx="7747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-3839845</wp:posOffset>
            </wp:positionV>
            <wp:extent cx="323151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5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9" w:name="page220"/>
    <w:bookmarkEnd w:id="2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jc w:val="right"/>
        <w:ind w:right="7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(LOSS)/INCOME</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or otherwise noted)</w:t>
      </w:r>
    </w:p>
    <w:p>
      <w:pPr>
        <w:sectPr>
          <w:pgSz w:w="11900" w:h="16838" w:orient="portrait"/>
          <w:cols w:equalWidth="0" w:num="1">
            <w:col w:w="9879"/>
          </w:cols>
          <w:pgMar w:left="580" w:top="97" w:right="1440" w:bottom="1440" w:gutter="0" w:footer="0" w:header="0"/>
        </w:sectPr>
      </w:pP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comprehensive (loss)/income</w:t>
      </w:r>
    </w:p>
    <w:p>
      <w:pPr>
        <w:spacing w:after="0" w:line="40" w:lineRule="exact"/>
        <w:rPr>
          <w:sz w:val="20"/>
          <w:szCs w:val="20"/>
          <w:color w:val="auto"/>
        </w:rPr>
      </w:pPr>
    </w:p>
    <w:p>
      <w:pPr>
        <w:ind w:left="1800" w:right="280" w:hanging="179"/>
        <w:spacing w:after="0" w:line="273" w:lineRule="auto"/>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p>
      <w:pPr>
        <w:spacing w:after="0" w:line="2" w:lineRule="exact"/>
        <w:rPr>
          <w:sz w:val="20"/>
          <w:szCs w:val="20"/>
          <w:color w:val="auto"/>
        </w:rPr>
      </w:pPr>
    </w:p>
    <w:p>
      <w:pPr>
        <w:ind w:left="1800" w:right="160" w:hanging="179"/>
        <w:spacing w:after="0" w:line="282" w:lineRule="auto"/>
        <w:rPr>
          <w:sz w:val="20"/>
          <w:szCs w:val="20"/>
          <w:color w:val="auto"/>
        </w:rPr>
      </w:pPr>
      <w:r>
        <w:rPr>
          <w:rFonts w:ascii="Times New Roman" w:cs="Times New Roman" w:eastAsia="Times New Roman" w:hAnsi="Times New Roman"/>
          <w:sz w:val="18"/>
          <w:szCs w:val="18"/>
          <w:color w:val="auto"/>
        </w:rPr>
        <w:t>Add: Net loss attributable to redeemable non-controlling interests</w:t>
      </w:r>
    </w:p>
    <w:p>
      <w:pPr>
        <w:spacing w:after="0" w:line="9" w:lineRule="exact"/>
        <w:rPr>
          <w:sz w:val="20"/>
          <w:szCs w:val="20"/>
          <w:color w:val="auto"/>
        </w:rPr>
      </w:pPr>
    </w:p>
    <w:p>
      <w:pPr>
        <w:ind w:left="1440" w:right="440" w:hanging="179"/>
        <w:spacing w:after="0" w:line="276" w:lineRule="auto"/>
        <w:rPr>
          <w:sz w:val="20"/>
          <w:szCs w:val="20"/>
          <w:color w:val="auto"/>
        </w:rPr>
      </w:pPr>
      <w:r>
        <w:rPr>
          <w:rFonts w:ascii="Times New Roman" w:cs="Times New Roman" w:eastAsia="Times New Roman" w:hAnsi="Times New Roman"/>
          <w:sz w:val="18"/>
          <w:szCs w:val="18"/>
          <w:b w:val="1"/>
          <w:bCs w:val="1"/>
          <w:color w:val="auto"/>
        </w:rPr>
        <w:t>Comprehensive (loss)/income attributable to the Company</w:t>
      </w:r>
    </w:p>
    <w:p>
      <w:pPr>
        <w:jc w:val="both"/>
        <w:ind w:left="1440" w:hanging="179"/>
        <w:spacing w:after="0" w:line="266" w:lineRule="auto"/>
        <w:rPr>
          <w:sz w:val="20"/>
          <w:szCs w:val="20"/>
          <w:color w:val="auto"/>
        </w:rPr>
      </w:pPr>
      <w:r>
        <w:rPr>
          <w:rFonts w:ascii="Times New Roman" w:cs="Times New Roman" w:eastAsia="Times New Roman" w:hAnsi="Times New Roman"/>
          <w:sz w:val="18"/>
          <w:szCs w:val="18"/>
          <w:color w:val="auto"/>
        </w:rPr>
        <w:t>Weighted average number of ordinary shares used in computing net (loss)/ income per share, basic and diluted</w:t>
      </w:r>
    </w:p>
    <w:p>
      <w:pPr>
        <w:spacing w:after="0" w:line="27" w:lineRule="exact"/>
        <w:rPr>
          <w:sz w:val="20"/>
          <w:szCs w:val="20"/>
          <w:color w:val="auto"/>
        </w:rPr>
      </w:pPr>
    </w:p>
    <w:p>
      <w:pPr>
        <w:ind w:left="1420" w:hanging="160"/>
        <w:spacing w:after="0"/>
        <w:tabs>
          <w:tab w:leader="none" w:pos="14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w:t>
      </w:r>
    </w:p>
    <w:p>
      <w:pPr>
        <w:spacing w:after="0" w:line="63" w:lineRule="exact"/>
        <w:rPr>
          <w:rFonts w:ascii="Times New Roman" w:cs="Times New Roman" w:eastAsia="Times New Roman" w:hAnsi="Times New Roman"/>
          <w:sz w:val="18"/>
          <w:szCs w:val="18"/>
          <w:color w:val="auto"/>
        </w:rPr>
      </w:pPr>
    </w:p>
    <w:p>
      <w:pPr>
        <w:ind w:left="1420" w:hanging="160"/>
        <w:spacing w:after="0"/>
        <w:tabs>
          <w:tab w:leader="none" w:pos="14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Net (loss)/income per ordinary share</w:t>
      </w:r>
    </w:p>
    <w:p>
      <w:pPr>
        <w:spacing w:after="0" w:line="79" w:lineRule="exact"/>
        <w:rPr>
          <w:sz w:val="20"/>
          <w:szCs w:val="20"/>
          <w:color w:val="auto"/>
        </w:rPr>
      </w:pPr>
    </w:p>
    <w:p>
      <w:pPr>
        <w:ind w:left="1420" w:hanging="160"/>
        <w:spacing w:after="0"/>
        <w:tabs>
          <w:tab w:leader="none" w:pos="14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w:t>
      </w:r>
    </w:p>
    <w:p>
      <w:pPr>
        <w:spacing w:after="0" w:line="63" w:lineRule="exact"/>
        <w:rPr>
          <w:rFonts w:ascii="Times New Roman" w:cs="Times New Roman" w:eastAsia="Times New Roman" w:hAnsi="Times New Roman"/>
          <w:sz w:val="18"/>
          <w:szCs w:val="18"/>
          <w:color w:val="auto"/>
        </w:rPr>
      </w:pPr>
    </w:p>
    <w:p>
      <w:pPr>
        <w:ind w:left="1420" w:hanging="160"/>
        <w:spacing w:after="0"/>
        <w:tabs>
          <w:tab w:leader="none" w:pos="14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Share-based compensation expenses included in:</w:t>
      </w:r>
    </w:p>
    <w:p>
      <w:pPr>
        <w:spacing w:after="0" w:line="6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 operating costs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10"/>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0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20"/>
                <w:szCs w:val="20"/>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20"/>
                <w:szCs w:val="20"/>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top w:val="single" w:sz="8" w:color="auto"/>
            </w:tcBorders>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Borders>
              <w:top w:val="single" w:sz="8" w:color="auto"/>
            </w:tcBorders>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7"/>
              </w:rPr>
              <w:t>(Note 2(f))</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(90,716)</w:t>
            </w:r>
          </w:p>
        </w:tc>
        <w:tc>
          <w:tcPr>
            <w:tcW w:w="160" w:type="dxa"/>
            <w:vAlign w:val="bottom"/>
          </w:tcPr>
          <w:p>
            <w:pPr>
              <w:spacing w:after="0"/>
              <w:rPr>
                <w:sz w:val="19"/>
                <w:szCs w:val="19"/>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95"/>
              </w:rPr>
              <w:t>793,407</w:t>
            </w: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2,526,347</w:t>
            </w: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346,109</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9"/>
        </w:trPr>
        <w:tc>
          <w:tcPr>
            <w:tcW w:w="280" w:type="dxa"/>
            <w:vAlign w:val="bottom"/>
            <w:gridSpan w:val="2"/>
            <w:vMerge w:val="continue"/>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4"/>
                <w:szCs w:val="24"/>
                <w:color w:val="auto"/>
              </w:rPr>
            </w:pP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(1,663​​​)</w:t>
            </w:r>
            <w:r>
              <w:rPr>
                <w:rFonts w:ascii="Times New Roman" w:cs="Times New Roman" w:eastAsia="Times New Roman" w:hAnsi="Times New Roman"/>
                <w:sz w:val="18"/>
                <w:szCs w:val="18"/>
                <w:b w:val="1"/>
                <w:bCs w:val="1"/>
                <w:color w:val="auto"/>
              </w:rPr>
              <w:t>​</w:t>
            </w: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(17,368​​​)</w:t>
            </w: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0" w:type="dxa"/>
            <w:vAlign w:val="bottom"/>
          </w:tcPr>
          <w:p>
            <w:pPr>
              <w:spacing w:after="0"/>
              <w:rPr>
                <w:sz w:val="1"/>
                <w:szCs w:val="1"/>
                <w:color w:val="auto"/>
              </w:rPr>
            </w:pPr>
          </w:p>
        </w:tc>
      </w:tr>
      <w:tr>
        <w:trPr>
          <w:trHeight w:val="486"/>
        </w:trPr>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4"/>
                <w:szCs w:val="24"/>
                <w:color w:val="auto"/>
              </w:rPr>
            </w:pP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18,891​​​​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(90,716​​​)​</w:t>
            </w: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791,744​​​​</w:t>
            </w: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2,527,870​​​​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346,318​</w:t>
            </w:r>
          </w:p>
        </w:tc>
        <w:tc>
          <w:tcPr>
            <w:tcW w:w="0" w:type="dxa"/>
            <w:vAlign w:val="bottom"/>
          </w:tcPr>
          <w:p>
            <w:pPr>
              <w:spacing w:after="0"/>
              <w:rPr>
                <w:sz w:val="1"/>
                <w:szCs w:val="1"/>
                <w:color w:val="auto"/>
              </w:rPr>
            </w:pPr>
          </w:p>
        </w:tc>
      </w:tr>
      <w:tr>
        <w:trPr>
          <w:trHeight w:val="688"/>
        </w:trPr>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-1516380</wp:posOffset>
            </wp:positionV>
            <wp:extent cx="5212080" cy="16319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-436245</wp:posOffset>
            </wp:positionV>
            <wp:extent cx="5212080" cy="43688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212080" cy="436880"/>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-1054100</wp:posOffset>
            </wp:positionV>
            <wp:extent cx="5212080" cy="3175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212080" cy="31750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​​​100,000,002​​​​104,465,049​​​​100,628,189​​​​100,628,189​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17145</wp:posOffset>
            </wp:positionV>
            <wp:extent cx="5212080" cy="1714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​​​100,000,002​​​​152,731,792​​​​100,628,189​​​​100,628,189​</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1"/>
              <w:spacing w:after="0" w:line="189" w:lineRule="exact"/>
              <w:rPr>
                <w:sz w:val="20"/>
                <w:szCs w:val="20"/>
                <w:color w:val="auto"/>
              </w:rPr>
            </w:pPr>
            <w:r>
              <w:rPr>
                <w:rFonts w:ascii="Times New Roman" w:cs="Times New Roman" w:eastAsia="Times New Roman" w:hAnsi="Times New Roman"/>
                <w:sz w:val="18"/>
                <w:szCs w:val="18"/>
                <w:color w:val="auto"/>
              </w:rPr>
              <w:t>(1.45)</w:t>
            </w:r>
          </w:p>
        </w:tc>
        <w:tc>
          <w:tcPr>
            <w:tcW w:w="6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5.04</w:t>
            </w:r>
          </w:p>
        </w:tc>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14.26</w:t>
            </w: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90"/>
        </w:trPr>
        <w:tc>
          <w:tcPr>
            <w:tcW w:w="380" w:type="dxa"/>
            <w:vAlign w:val="bottom"/>
            <w:vMerge w:val="continue"/>
          </w:tcPr>
          <w:p>
            <w:pPr>
              <w:spacing w:after="0"/>
              <w:rPr>
                <w:sz w:val="7"/>
                <w:szCs w:val="7"/>
                <w:color w:val="auto"/>
              </w:rPr>
            </w:pPr>
          </w:p>
        </w:tc>
        <w:tc>
          <w:tcPr>
            <w:tcW w:w="1040" w:type="dxa"/>
            <w:vAlign w:val="bottom"/>
          </w:tcPr>
          <w:p>
            <w:pPr>
              <w:ind w:left="600"/>
              <w:spacing w:after="0" w:line="90"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660" w:type="dxa"/>
            <w:vAlign w:val="bottom"/>
          </w:tcPr>
          <w:p>
            <w:pPr>
              <w:ind w:left="600"/>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1"/>
              <w:spacing w:after="0" w:line="181" w:lineRule="exact"/>
              <w:rPr>
                <w:sz w:val="20"/>
                <w:szCs w:val="20"/>
                <w:color w:val="auto"/>
              </w:rPr>
            </w:pPr>
            <w:r>
              <w:rPr>
                <w:rFonts w:ascii="Times New Roman" w:cs="Times New Roman" w:eastAsia="Times New Roman" w:hAnsi="Times New Roman"/>
                <w:sz w:val="18"/>
                <w:szCs w:val="18"/>
                <w:color w:val="auto"/>
              </w:rPr>
              <w:t>(1.45)</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4.98</w:t>
            </w:r>
          </w:p>
        </w:tc>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14.26</w:t>
            </w: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137"/>
        </w:trPr>
        <w:tc>
          <w:tcPr>
            <w:tcW w:w="380" w:type="dxa"/>
            <w:vAlign w:val="bottom"/>
            <w:vMerge w:val="continue"/>
          </w:tcPr>
          <w:p>
            <w:pPr>
              <w:spacing w:after="0"/>
              <w:rPr>
                <w:sz w:val="11"/>
                <w:szCs w:val="11"/>
                <w:color w:val="auto"/>
              </w:rPr>
            </w:pPr>
          </w:p>
        </w:tc>
        <w:tc>
          <w:tcPr>
            <w:tcW w:w="1040" w:type="dxa"/>
            <w:vAlign w:val="bottom"/>
          </w:tcPr>
          <w:p>
            <w:pPr>
              <w:ind w:left="600"/>
              <w:spacing w:after="0" w:line="137"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660" w:type="dxa"/>
            <w:vAlign w:val="bottom"/>
          </w:tcPr>
          <w:p>
            <w:pPr>
              <w:ind w:left="600"/>
              <w:spacing w:after="0" w:line="13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-394970</wp:posOffset>
            </wp:positionV>
            <wp:extent cx="5212080" cy="1714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-52070</wp:posOffset>
            </wp:positionV>
            <wp:extent cx="5212080" cy="1714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81"/>
              <w:spacing w:after="0" w:line="181" w:lineRule="exact"/>
              <w:rPr>
                <w:sz w:val="20"/>
                <w:szCs w:val="20"/>
                <w:color w:val="auto"/>
              </w:rPr>
            </w:pPr>
            <w:r>
              <w:rPr>
                <w:rFonts w:ascii="Times New Roman" w:cs="Times New Roman" w:eastAsia="Times New Roman" w:hAnsi="Times New Roman"/>
                <w:sz w:val="18"/>
                <w:szCs w:val="18"/>
                <w:color w:val="auto"/>
              </w:rPr>
              <w:t>(19)</w:t>
            </w:r>
          </w:p>
        </w:tc>
        <w:tc>
          <w:tcPr>
            <w:tcW w:w="1160" w:type="dxa"/>
            <w:vAlign w:val="bottom"/>
          </w:tcPr>
          <w:p>
            <w:pPr>
              <w:jc w:val="right"/>
              <w:ind w:right="301"/>
              <w:spacing w:after="0" w:line="181" w:lineRule="exact"/>
              <w:rPr>
                <w:sz w:val="20"/>
                <w:szCs w:val="20"/>
                <w:color w:val="auto"/>
              </w:rPr>
            </w:pPr>
            <w:r>
              <w:rPr>
                <w:rFonts w:ascii="Times New Roman" w:cs="Times New Roman" w:eastAsia="Times New Roman" w:hAnsi="Times New Roman"/>
                <w:sz w:val="18"/>
                <w:szCs w:val="18"/>
                <w:color w:val="auto"/>
              </w:rPr>
              <w:t>(54)</w:t>
            </w:r>
          </w:p>
        </w:tc>
        <w:tc>
          <w:tcPr>
            <w:tcW w:w="1080" w:type="dxa"/>
            <w:vAlign w:val="bottom"/>
          </w:tcPr>
          <w:p>
            <w:pPr>
              <w:jc w:val="right"/>
              <w:ind w:right="341"/>
              <w:spacing w:after="0" w:line="181" w:lineRule="exact"/>
              <w:rPr>
                <w:sz w:val="20"/>
                <w:szCs w:val="20"/>
                <w:color w:val="auto"/>
              </w:rPr>
            </w:pPr>
            <w:r>
              <w:rPr>
                <w:rFonts w:ascii="Times New Roman" w:cs="Times New Roman" w:eastAsia="Times New Roman" w:hAnsi="Times New Roman"/>
                <w:sz w:val="18"/>
                <w:szCs w:val="18"/>
                <w:color w:val="auto"/>
              </w:rPr>
              <w:t>(21)</w:t>
            </w:r>
          </w:p>
        </w:tc>
        <w:tc>
          <w:tcPr>
            <w:tcW w:w="6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90"/>
        </w:trPr>
        <w:tc>
          <w:tcPr>
            <w:tcW w:w="320" w:type="dxa"/>
            <w:vAlign w:val="bottom"/>
            <w:vMerge w:val="continue"/>
          </w:tcPr>
          <w:p>
            <w:pPr>
              <w:spacing w:after="0"/>
              <w:rPr>
                <w:sz w:val="7"/>
                <w:szCs w:val="7"/>
                <w:color w:val="auto"/>
              </w:rPr>
            </w:pPr>
          </w:p>
        </w:tc>
        <w:tc>
          <w:tcPr>
            <w:tcW w:w="980" w:type="dxa"/>
            <w:vAlign w:val="bottom"/>
          </w:tcPr>
          <w:p>
            <w:pPr>
              <w:jc w:val="right"/>
              <w:ind w:right="61"/>
              <w:spacing w:after="0" w:line="90"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tcPr>
          <w:p>
            <w:pPr>
              <w:jc w:val="right"/>
              <w:ind w:right="201"/>
              <w:spacing w:after="0" w:line="90" w:lineRule="exact"/>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241"/>
              <w:spacing w:after="0" w:line="90"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81"/>
              <w:spacing w:after="0" w:line="181" w:lineRule="exact"/>
              <w:rPr>
                <w:sz w:val="20"/>
                <w:szCs w:val="20"/>
                <w:color w:val="auto"/>
              </w:rPr>
            </w:pPr>
            <w:r>
              <w:rPr>
                <w:rFonts w:ascii="Times New Roman" w:cs="Times New Roman" w:eastAsia="Times New Roman" w:hAnsi="Times New Roman"/>
                <w:sz w:val="18"/>
                <w:szCs w:val="18"/>
                <w:color w:val="auto"/>
              </w:rPr>
              <w:t>(9)</w:t>
            </w:r>
          </w:p>
        </w:tc>
        <w:tc>
          <w:tcPr>
            <w:tcW w:w="1160" w:type="dxa"/>
            <w:vAlign w:val="bottom"/>
          </w:tcPr>
          <w:p>
            <w:pPr>
              <w:jc w:val="right"/>
              <w:ind w:right="301"/>
              <w:spacing w:after="0" w:line="181" w:lineRule="exact"/>
              <w:rPr>
                <w:sz w:val="20"/>
                <w:szCs w:val="20"/>
                <w:color w:val="auto"/>
              </w:rPr>
            </w:pPr>
            <w:r>
              <w:rPr>
                <w:rFonts w:ascii="Times New Roman" w:cs="Times New Roman" w:eastAsia="Times New Roman" w:hAnsi="Times New Roman"/>
                <w:sz w:val="18"/>
                <w:szCs w:val="18"/>
                <w:color w:val="auto"/>
              </w:rPr>
              <w:t>(58)</w:t>
            </w:r>
          </w:p>
        </w:tc>
        <w:tc>
          <w:tcPr>
            <w:tcW w:w="1080" w:type="dxa"/>
            <w:vAlign w:val="bottom"/>
          </w:tcPr>
          <w:p>
            <w:pPr>
              <w:jc w:val="right"/>
              <w:ind w:right="341"/>
              <w:spacing w:after="0" w:line="181" w:lineRule="exact"/>
              <w:rPr>
                <w:sz w:val="20"/>
                <w:szCs w:val="20"/>
                <w:color w:val="auto"/>
              </w:rPr>
            </w:pPr>
            <w:r>
              <w:rPr>
                <w:rFonts w:ascii="Times New Roman" w:cs="Times New Roman" w:eastAsia="Times New Roman" w:hAnsi="Times New Roman"/>
                <w:sz w:val="18"/>
                <w:szCs w:val="18"/>
                <w:color w:val="auto"/>
              </w:rPr>
              <w:t>(25)</w:t>
            </w:r>
          </w:p>
        </w:tc>
        <w:tc>
          <w:tcPr>
            <w:tcW w:w="6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90"/>
        </w:trPr>
        <w:tc>
          <w:tcPr>
            <w:tcW w:w="320" w:type="dxa"/>
            <w:vAlign w:val="bottom"/>
            <w:vMerge w:val="continue"/>
          </w:tcPr>
          <w:p>
            <w:pPr>
              <w:spacing w:after="0"/>
              <w:rPr>
                <w:sz w:val="7"/>
                <w:szCs w:val="7"/>
                <w:color w:val="auto"/>
              </w:rPr>
            </w:pPr>
          </w:p>
        </w:tc>
        <w:tc>
          <w:tcPr>
            <w:tcW w:w="980" w:type="dxa"/>
            <w:vAlign w:val="bottom"/>
          </w:tcPr>
          <w:p>
            <w:pPr>
              <w:jc w:val="right"/>
              <w:ind w:right="61"/>
              <w:spacing w:after="0" w:line="90"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tcPr>
          <w:p>
            <w:pPr>
              <w:jc w:val="right"/>
              <w:ind w:right="201"/>
              <w:spacing w:after="0" w:line="90" w:lineRule="exact"/>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241"/>
              <w:spacing w:after="0" w:line="90"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81"/>
              <w:spacing w:after="0" w:line="181" w:lineRule="exact"/>
              <w:rPr>
                <w:sz w:val="20"/>
                <w:szCs w:val="20"/>
                <w:color w:val="auto"/>
              </w:rPr>
            </w:pPr>
            <w:r>
              <w:rPr>
                <w:rFonts w:ascii="Times New Roman" w:cs="Times New Roman" w:eastAsia="Times New Roman" w:hAnsi="Times New Roman"/>
                <w:sz w:val="18"/>
                <w:szCs w:val="18"/>
                <w:color w:val="auto"/>
              </w:rPr>
              <w:t>(3,916)</w:t>
            </w:r>
          </w:p>
        </w:tc>
        <w:tc>
          <w:tcPr>
            <w:tcW w:w="1160" w:type="dxa"/>
            <w:vAlign w:val="bottom"/>
          </w:tcPr>
          <w:p>
            <w:pPr>
              <w:jc w:val="right"/>
              <w:ind w:right="301"/>
              <w:spacing w:after="0" w:line="181" w:lineRule="exact"/>
              <w:rPr>
                <w:sz w:val="20"/>
                <w:szCs w:val="20"/>
                <w:color w:val="auto"/>
              </w:rPr>
            </w:pPr>
            <w:r>
              <w:rPr>
                <w:rFonts w:ascii="Times New Roman" w:cs="Times New Roman" w:eastAsia="Times New Roman" w:hAnsi="Times New Roman"/>
                <w:sz w:val="18"/>
                <w:szCs w:val="18"/>
                <w:color w:val="auto"/>
              </w:rPr>
              <w:t>(10,404)</w:t>
            </w:r>
          </w:p>
        </w:tc>
        <w:tc>
          <w:tcPr>
            <w:tcW w:w="1080" w:type="dxa"/>
            <w:vAlign w:val="bottom"/>
          </w:tcPr>
          <w:p>
            <w:pPr>
              <w:jc w:val="right"/>
              <w:ind w:right="341"/>
              <w:spacing w:after="0" w:line="181" w:lineRule="exact"/>
              <w:rPr>
                <w:sz w:val="20"/>
                <w:szCs w:val="20"/>
                <w:color w:val="auto"/>
              </w:rPr>
            </w:pPr>
            <w:r>
              <w:rPr>
                <w:rFonts w:ascii="Times New Roman" w:cs="Times New Roman" w:eastAsia="Times New Roman" w:hAnsi="Times New Roman"/>
                <w:sz w:val="18"/>
                <w:szCs w:val="18"/>
                <w:color w:val="auto"/>
              </w:rPr>
              <w:t>(557)</w:t>
            </w:r>
          </w:p>
        </w:tc>
        <w:tc>
          <w:tcPr>
            <w:tcW w:w="6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5"/>
        </w:trPr>
        <w:tc>
          <w:tcPr>
            <w:tcW w:w="320" w:type="dxa"/>
            <w:vAlign w:val="bottom"/>
            <w:vMerge w:val="continue"/>
          </w:tcPr>
          <w:p>
            <w:pPr>
              <w:spacing w:after="0"/>
              <w:rPr>
                <w:sz w:val="20"/>
                <w:szCs w:val="20"/>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-457200</wp:posOffset>
            </wp:positionV>
            <wp:extent cx="5212080" cy="1714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100"/>
            <w:col w:w="45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0" w:name="page221"/>
    <w:bookmarkEnd w:id="2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SHAREHOLDERS’ (DEFICIT)/EQUITY</w:t>
      </w:r>
    </w:p>
    <w:p>
      <w:pPr>
        <w:spacing w:after="0" w:line="43"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or otherwise noted)</w:t>
      </w:r>
    </w:p>
    <w:p>
      <w:pPr>
        <w:spacing w:after="0" w:line="200" w:lineRule="exact"/>
        <w:rPr>
          <w:sz w:val="20"/>
          <w:szCs w:val="20"/>
          <w:color w:val="auto"/>
        </w:rPr>
      </w:pPr>
    </w:p>
    <w:tbl>
      <w:tblPr>
        <w:tblLayout w:type="fixed"/>
        <w:tblInd w:w="19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60" w:type="dxa"/>
            <w:vAlign w:val="bottom"/>
            <w:gridSpan w:val="2"/>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8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10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shareholders’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5"/>
            <w:vMerge w:val="restart"/>
          </w:tcPr>
          <w:p>
            <w:pPr>
              <w:ind w:left="10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27"/>
                <w:szCs w:val="27"/>
                <w:b w:val="1"/>
                <w:bCs w:val="1"/>
                <w:color w:val="auto"/>
                <w:vertAlign w:val="subscript"/>
              </w:rPr>
              <w:t>​​</w:t>
            </w:r>
          </w:p>
        </w:tc>
        <w:tc>
          <w:tcPr>
            <w:tcW w:w="1380" w:type="dxa"/>
            <w:vAlign w:val="bottom"/>
            <w:gridSpan w:val="4"/>
            <w:vMerge w:val="restart"/>
          </w:tcPr>
          <w:p>
            <w:pPr>
              <w:ind w:left="8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27"/>
                <w:szCs w:val="27"/>
                <w:b w:val="1"/>
                <w:bCs w:val="1"/>
                <w:color w:val="auto"/>
                <w:vertAlign w:val="subscript"/>
              </w:rPr>
              <w:t>​​</w:t>
            </w:r>
          </w:p>
        </w:tc>
        <w:tc>
          <w:tcPr>
            <w:tcW w:w="6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5"/>
            <w:vMerge w:val="continue"/>
          </w:tcPr>
          <w:p>
            <w:pPr>
              <w:spacing w:after="0"/>
              <w:rPr>
                <w:sz w:val="18"/>
                <w:szCs w:val="18"/>
                <w:color w:val="auto"/>
              </w:rPr>
            </w:pPr>
          </w:p>
        </w:tc>
        <w:tc>
          <w:tcPr>
            <w:tcW w:w="1380" w:type="dxa"/>
            <w:vAlign w:val="bottom"/>
            <w:gridSpan w:val="4"/>
            <w:vMerge w:val="continue"/>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6"/>
              </w:rPr>
              <w:t>deficit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interests</w:t>
            </w:r>
          </w:p>
        </w:tc>
        <w:tc>
          <w:tcPr>
            <w:tcW w:w="100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(deficit)/equity</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20"/>
                <w:szCs w:val="20"/>
                <w:color w:val="auto"/>
              </w:rPr>
            </w:pPr>
          </w:p>
        </w:tc>
        <w:tc>
          <w:tcPr>
            <w:tcW w:w="560" w:type="dxa"/>
            <w:vAlign w:val="bottom"/>
            <w:gridSpan w:val="2"/>
          </w:tcPr>
          <w:p>
            <w:pP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RMB</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20"/>
                <w:szCs w:val="20"/>
                <w:color w:val="auto"/>
              </w:rPr>
            </w:pPr>
          </w:p>
        </w:tc>
        <w:tc>
          <w:tcPr>
            <w:tcW w:w="580" w:type="dxa"/>
            <w:vAlign w:val="bottom"/>
            <w:gridSpan w:val="2"/>
          </w:tcPr>
          <w:p>
            <w:pP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RMB</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1240" w:space="500"/>
            <w:col w:w="8540"/>
          </w:cols>
          <w:pgMar w:left="580" w:top="97" w:right="1039" w:bottom="1440" w:gutter="0" w:footer="0" w:header="0"/>
        </w:sectPr>
      </w:pPr>
    </w:p>
    <w:tbl>
      <w:tblPr>
        <w:tblLayout w:type="fixed"/>
        <w:tblInd w:w="500" w:type="dxa"/>
        <w:tblCellMar>
          <w:top w:w="0" w:type="dxa"/>
          <w:left w:w="0" w:type="dxa"/>
          <w:bottom w:w="0" w:type="dxa"/>
          <w:right w:w="0" w:type="dxa"/>
        </w:tblCellMar>
      </w:tblPr>
      <w:tr>
        <w:trPr>
          <w:trHeight w:val="20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10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​​​37,486,524​​</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​27</w:t>
            </w:r>
          </w:p>
        </w:tc>
        <w:tc>
          <w:tcPr>
            <w:tcW w:w="118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​​​​69,614,625​​</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​51</w:t>
            </w:r>
          </w:p>
        </w:tc>
        <w:tc>
          <w:tcPr>
            <w:tcW w:w="8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​​​​128,867</w:t>
            </w:r>
          </w:p>
        </w:tc>
        <w:tc>
          <w:tcPr>
            <w:tcW w:w="13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​(315,448)​​​</w:t>
            </w: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​163</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6"/>
              </w:rPr>
              <w:t>​(186,340)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(90,716)​​​</w:t>
            </w: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(90,716)</w:t>
            </w:r>
            <w:r>
              <w:rPr>
                <w:rFonts w:ascii="Times New Roman" w:cs="Times New Roman" w:eastAsia="Times New Roman" w:hAnsi="Times New Roman"/>
                <w:sz w:val="18"/>
                <w:szCs w:val="18"/>
                <w:b w:val="1"/>
                <w:bCs w:val="1"/>
                <w:color w:val="auto"/>
              </w:rPr>
              <w:t xml:space="preserve"> ​</w:t>
            </w:r>
          </w:p>
        </w:tc>
      </w:tr>
      <w:tr>
        <w:trPr>
          <w:trHeight w:val="225"/>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convertible redeemable</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 to redemption value</w:t>
            </w: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06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(30,201)​​​ </w:t>
            </w: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(30,201)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Dividends to non-controlling interests</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non-controlling interests</w:t>
            </w:r>
          </w:p>
        </w:tc>
        <w:tc>
          <w:tcPr>
            <w:tcW w:w="420" w:type="dxa"/>
            <w:vAlign w:val="bottom"/>
            <w:gridSpan w:val="2"/>
            <w:shd w:val="clear" w:color="auto" w:fill="CCEEFF"/>
          </w:tcPr>
          <w:p>
            <w:pPr>
              <w:ind w:left="20"/>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680" w:type="dxa"/>
            <w:vAlign w:val="bottom"/>
            <w:tcBorders>
              <w:right w:val="single" w:sz="8" w:color="CCEEFF"/>
            </w:tcBorders>
            <w:gridSpan w:val="2"/>
            <w:shd w:val="clear" w:color="auto" w:fill="CCEEFF"/>
          </w:tcPr>
          <w:p>
            <w:pPr>
              <w:jc w:val="right"/>
              <w:ind w:right="12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w:t>
            </w:r>
          </w:p>
        </w:tc>
        <w:tc>
          <w:tcPr>
            <w:tcW w:w="500" w:type="dxa"/>
            <w:vAlign w:val="bottom"/>
            <w:gridSpan w:val="2"/>
            <w:shd w:val="clear" w:color="auto" w:fill="CCEEFF"/>
          </w:tcPr>
          <w:p>
            <w:pPr>
              <w:ind w:left="80"/>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680" w:type="dxa"/>
            <w:vAlign w:val="bottom"/>
            <w:tcBorders>
              <w:right w:val="single" w:sz="8" w:color="CCEEFF"/>
            </w:tcBorders>
            <w:gridSpan w:val="2"/>
            <w:shd w:val="clear" w:color="auto" w:fill="CCEEFF"/>
          </w:tcPr>
          <w:p>
            <w:pPr>
              <w:jc w:val="right"/>
              <w:ind w:right="12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CEEFF"/>
          </w:tcPr>
          <w:p>
            <w:pPr>
              <w:ind w:left="20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 ​</w:t>
            </w:r>
          </w:p>
        </w:tc>
        <w:tc>
          <w:tcPr>
            <w:tcW w:w="1080" w:type="dxa"/>
            <w:vAlign w:val="bottom"/>
            <w:gridSpan w:val="2"/>
            <w:shd w:val="clear" w:color="auto" w:fill="CCEEFF"/>
          </w:tcPr>
          <w:p>
            <w:pPr>
              <w:jc w:val="right"/>
              <w:ind w:right="32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w:t>
            </w:r>
          </w:p>
        </w:tc>
        <w:tc>
          <w:tcPr>
            <w:tcW w:w="48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(57)</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w:t>
            </w:r>
          </w:p>
        </w:tc>
        <w:tc>
          <w:tcPr>
            <w:tcW w:w="5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100" w:type="dxa"/>
            <w:vAlign w:val="bottom"/>
            <w:gridSpan w:val="4"/>
          </w:tcPr>
          <w:p>
            <w:pPr>
              <w:jc w:val="right"/>
              <w:ind w:right="1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​37,486,524</w:t>
            </w:r>
            <w:r>
              <w:rPr>
                <w:rFonts w:ascii="Times New Roman" w:cs="Times New Roman" w:eastAsia="Times New Roman" w:hAnsi="Times New Roman"/>
                <w:sz w:val="30"/>
                <w:szCs w:val="30"/>
                <w:b w:val="1"/>
                <w:bCs w:val="1"/>
                <w:color w:val="auto"/>
                <w:vertAlign w:val="subscript"/>
              </w:rPr>
              <w:t>​​</w:t>
            </w:r>
          </w:p>
        </w:tc>
        <w:tc>
          <w:tcPr>
            <w:tcW w:w="260" w:type="dxa"/>
            <w:vAlign w:val="bottom"/>
            <w:gridSpan w:val="2"/>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​27</w:t>
            </w:r>
          </w:p>
        </w:tc>
        <w:tc>
          <w:tcPr>
            <w:tcW w:w="1180" w:type="dxa"/>
            <w:vAlign w:val="bottom"/>
            <w:gridSpan w:val="4"/>
          </w:tcPr>
          <w:p>
            <w:pPr>
              <w:jc w:val="right"/>
              <w:ind w:right="1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​69,614,625</w:t>
            </w:r>
            <w:r>
              <w:rPr>
                <w:rFonts w:ascii="Times New Roman" w:cs="Times New Roman" w:eastAsia="Times New Roman" w:hAnsi="Times New Roman"/>
                <w:sz w:val="30"/>
                <w:szCs w:val="30"/>
                <w:b w:val="1"/>
                <w:bCs w:val="1"/>
                <w:color w:val="auto"/>
                <w:vertAlign w:val="subscript"/>
              </w:rPr>
              <w:t>​​</w:t>
            </w:r>
          </w:p>
        </w:tc>
        <w:tc>
          <w:tcPr>
            <w:tcW w:w="280" w:type="dxa"/>
            <w:vAlign w:val="bottom"/>
            <w:gridSpan w:val="2"/>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​51</w:t>
            </w:r>
          </w:p>
        </w:tc>
        <w:tc>
          <w:tcPr>
            <w:tcW w:w="2140" w:type="dxa"/>
            <w:vAlign w:val="bottom"/>
            <w:gridSpan w:val="8"/>
          </w:tcPr>
          <w:p>
            <w:pPr>
              <w:jc w:val="right"/>
              <w:ind w:right="3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98,666 </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​(406,164)</w:t>
            </w:r>
            <w:r>
              <w:rPr>
                <w:rFonts w:ascii="Times New Roman" w:cs="Times New Roman" w:eastAsia="Times New Roman" w:hAnsi="Times New Roman"/>
                <w:sz w:val="30"/>
                <w:szCs w:val="30"/>
                <w:b w:val="1"/>
                <w:bCs w:val="1"/>
                <w:color w:val="auto"/>
                <w:vertAlign w:val="subscript"/>
              </w:rPr>
              <w:t>​​​</w:t>
            </w:r>
          </w:p>
        </w:tc>
        <w:tc>
          <w:tcPr>
            <w:tcW w:w="480" w:type="dxa"/>
            <w:vAlign w:val="bottom"/>
            <w:gridSpan w:val="2"/>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73</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5"/>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​(307,347) </w:t>
            </w:r>
            <w:r>
              <w:rPr>
                <w:rFonts w:ascii="Times New Roman" w:cs="Times New Roman" w:eastAsia="Times New Roman" w:hAnsi="Times New Roman"/>
                <w:sz w:val="30"/>
                <w:szCs w:val="30"/>
                <w:b w:val="1"/>
                <w:bCs w:val="1"/>
                <w:color w:val="auto"/>
                <w:vertAlign w:val="subscript"/>
              </w:rPr>
              <w:t>​</w:t>
            </w:r>
          </w:p>
        </w:tc>
      </w:tr>
      <w:tr>
        <w:trPr>
          <w:trHeight w:val="21"/>
        </w:trPr>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9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221" w:name="page222"/>
    <w:bookmarkEnd w:id="2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(DEFICIT)/EQUITY (continued)</w:t>
      </w: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or otherwise noted)</w:t>
      </w:r>
    </w:p>
    <w:p>
      <w:pPr>
        <w:spacing w:after="0" w:line="208"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4"/>
            <w:vMerge w:val="restart"/>
          </w:tcPr>
          <w:p>
            <w:pPr>
              <w:jc w:val="center"/>
              <w:ind w:left="111"/>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center"/>
              <w:ind w:left="151"/>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84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Accumulative</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820" w:type="dxa"/>
            <w:vAlign w:val="bottom"/>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gridSpan w:val="2"/>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gridSpan w:val="6"/>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rPr>
              <w:t>Ordinary Shares</w:t>
            </w:r>
          </w:p>
        </w:tc>
        <w:tc>
          <w:tcPr>
            <w:tcW w:w="1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4"/>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w w:val="98"/>
              </w:rPr>
              <w:t>Ordinary Shares</w:t>
            </w:r>
          </w:p>
        </w:tc>
        <w:tc>
          <w:tcPr>
            <w:tcW w:w="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gridSpan w:val="3"/>
            <w:vMerge w:val="restart"/>
          </w:tcPr>
          <w:p>
            <w:pPr>
              <w:jc w:val="center"/>
              <w:ind w:right="100"/>
              <w:spacing w:after="0" w:line="105" w:lineRule="exact"/>
              <w:rPr>
                <w:sz w:val="20"/>
                <w:szCs w:val="20"/>
                <w:color w:val="auto"/>
              </w:rPr>
            </w:pPr>
            <w:r>
              <w:rPr>
                <w:rFonts w:ascii="Times New Roman" w:cs="Times New Roman" w:eastAsia="Times New Roman" w:hAnsi="Times New Roman"/>
                <w:sz w:val="12"/>
                <w:szCs w:val="12"/>
                <w:b w:val="1"/>
                <w:bCs w:val="1"/>
                <w:color w:val="auto"/>
              </w:rPr>
              <w:t>paid-in</w:t>
            </w:r>
          </w:p>
        </w:tc>
        <w:tc>
          <w:tcPr>
            <w:tcW w:w="80" w:type="dxa"/>
            <w:vAlign w:val="bottom"/>
          </w:tcPr>
          <w:p>
            <w:pPr>
              <w:spacing w:after="0"/>
              <w:rPr>
                <w:sz w:val="4"/>
                <w:szCs w:val="4"/>
                <w:color w:val="auto"/>
              </w:rPr>
            </w:pPr>
          </w:p>
        </w:tc>
        <w:tc>
          <w:tcPr>
            <w:tcW w:w="520" w:type="dxa"/>
            <w:vAlign w:val="bottom"/>
            <w:gridSpan w:val="4"/>
            <w:vMerge w:val="restart"/>
          </w:tcPr>
          <w:p>
            <w:pPr>
              <w:jc w:val="center"/>
              <w:ind w:right="40"/>
              <w:spacing w:after="0" w:line="105" w:lineRule="exact"/>
              <w:rPr>
                <w:sz w:val="20"/>
                <w:szCs w:val="20"/>
                <w:color w:val="auto"/>
              </w:rPr>
            </w:pPr>
            <w:r>
              <w:rPr>
                <w:rFonts w:ascii="Times New Roman" w:cs="Times New Roman" w:eastAsia="Times New Roman" w:hAnsi="Times New Roman"/>
                <w:sz w:val="12"/>
                <w:szCs w:val="12"/>
                <w:b w:val="1"/>
                <w:bCs w:val="1"/>
                <w:color w:val="auto"/>
                <w:w w:val="98"/>
              </w:rPr>
              <w:t>Statutory</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gridSpan w:val="2"/>
            <w:vMerge w:val="restart"/>
          </w:tcPr>
          <w:p>
            <w:pPr>
              <w:jc w:val="right"/>
              <w:ind w:right="120"/>
              <w:spacing w:after="0" w:line="105" w:lineRule="exact"/>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4"/>
                <w:szCs w:val="4"/>
                <w:color w:val="auto"/>
              </w:rPr>
            </w:pPr>
          </w:p>
        </w:tc>
        <w:tc>
          <w:tcPr>
            <w:tcW w:w="840" w:type="dxa"/>
            <w:vAlign w:val="bottom"/>
            <w:gridSpan w:val="4"/>
            <w:vMerge w:val="restart"/>
          </w:tcPr>
          <w:p>
            <w:pPr>
              <w:jc w:val="center"/>
              <w:ind w:right="20"/>
              <w:spacing w:after="0" w:line="10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80" w:type="dxa"/>
            <w:vAlign w:val="bottom"/>
          </w:tcPr>
          <w:p>
            <w:pPr>
              <w:spacing w:after="0"/>
              <w:rPr>
                <w:sz w:val="4"/>
                <w:szCs w:val="4"/>
                <w:color w:val="auto"/>
              </w:rPr>
            </w:pPr>
          </w:p>
        </w:tc>
        <w:tc>
          <w:tcPr>
            <w:tcW w:w="500" w:type="dxa"/>
            <w:vAlign w:val="bottom"/>
            <w:gridSpan w:val="3"/>
            <w:vMerge w:val="restart"/>
          </w:tcPr>
          <w:p>
            <w:pPr>
              <w:jc w:val="center"/>
              <w:ind w:right="20"/>
              <w:spacing w:after="0" w:line="105" w:lineRule="exact"/>
              <w:rPr>
                <w:sz w:val="20"/>
                <w:szCs w:val="20"/>
                <w:color w:val="auto"/>
              </w:rPr>
            </w:pPr>
            <w:r>
              <w:rPr>
                <w:rFonts w:ascii="Times New Roman" w:cs="Times New Roman" w:eastAsia="Times New Roman" w:hAnsi="Times New Roman"/>
                <w:sz w:val="12"/>
                <w:szCs w:val="12"/>
                <w:b w:val="1"/>
                <w:bCs w:val="1"/>
                <w:color w:val="auto"/>
                <w:w w:val="85"/>
              </w:rPr>
              <w:t>controlling</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gridSpan w:val="2"/>
            <w:vMerge w:val="restart"/>
          </w:tcPr>
          <w:p>
            <w:pPr>
              <w:jc w:val="right"/>
              <w:ind w:right="120"/>
              <w:spacing w:after="0" w:line="105" w:lineRule="exact"/>
              <w:rPr>
                <w:sz w:val="20"/>
                <w:szCs w:val="20"/>
                <w:color w:val="auto"/>
              </w:rPr>
            </w:pPr>
            <w:r>
              <w:rPr>
                <w:rFonts w:ascii="Times New Roman" w:cs="Times New Roman" w:eastAsia="Times New Roman" w:hAnsi="Times New Roman"/>
                <w:sz w:val="12"/>
                <w:szCs w:val="12"/>
                <w:b w:val="1"/>
                <w:bCs w:val="1"/>
                <w:color w:val="auto"/>
              </w:rPr>
              <w:t>(deficit)/​</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gridSpan w:val="8"/>
          </w:tcPr>
          <w:p>
            <w:pPr>
              <w:jc w:val="right"/>
              <w:spacing w:after="0" w:line="205" w:lineRule="exact"/>
              <w:rPr>
                <w:sz w:val="20"/>
                <w:szCs w:val="20"/>
                <w:color w:val="auto"/>
              </w:rPr>
            </w:pPr>
            <w:r>
              <w:rPr>
                <w:rFonts w:ascii="Times New Roman" w:cs="Times New Roman" w:eastAsia="Times New Roman" w:hAnsi="Times New Roman"/>
                <w:sz w:val="12"/>
                <w:szCs w:val="12"/>
                <w:b w:val="1"/>
                <w:bCs w:val="1"/>
                <w:color w:val="auto"/>
              </w:rPr>
              <w:t xml:space="preserve">Shares  </w:t>
            </w: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Amount</w:t>
            </w:r>
            <w:r>
              <w:rPr>
                <w:rFonts w:ascii="Times New Roman" w:cs="Times New Roman" w:eastAsia="Times New Roman" w:hAnsi="Times New Roman"/>
                <w:sz w:val="23"/>
                <w:szCs w:val="23"/>
                <w:b w:val="1"/>
                <w:bCs w:val="1"/>
                <w:color w:val="auto"/>
                <w:vertAlign w:val="subscript"/>
              </w:rPr>
              <w:t>​​</w:t>
            </w:r>
          </w:p>
        </w:tc>
        <w:tc>
          <w:tcPr>
            <w:tcW w:w="1240" w:type="dxa"/>
            <w:vAlign w:val="bottom"/>
            <w:gridSpan w:val="7"/>
          </w:tcPr>
          <w:p>
            <w:pPr>
              <w:jc w:val="right"/>
              <w:ind w:right="33"/>
              <w:spacing w:after="0" w:line="205" w:lineRule="exact"/>
              <w:rPr>
                <w:sz w:val="20"/>
                <w:szCs w:val="20"/>
                <w:color w:val="auto"/>
              </w:rPr>
            </w:pPr>
            <w:r>
              <w:rPr>
                <w:rFonts w:ascii="Times New Roman" w:cs="Times New Roman" w:eastAsia="Times New Roman" w:hAnsi="Times New Roman"/>
                <w:sz w:val="12"/>
                <w:szCs w:val="12"/>
                <w:b w:val="1"/>
                <w:bCs w:val="1"/>
                <w:color w:val="auto"/>
              </w:rPr>
              <w:t xml:space="preserve">Shares  </w:t>
            </w: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Amount</w:t>
            </w:r>
            <w:r>
              <w:rPr>
                <w:rFonts w:ascii="Times New Roman" w:cs="Times New Roman" w:eastAsia="Times New Roman" w:hAnsi="Times New Roman"/>
                <w:sz w:val="23"/>
                <w:szCs w:val="23"/>
                <w:b w:val="1"/>
                <w:bCs w:val="1"/>
                <w:color w:val="auto"/>
                <w:vertAlign w:val="subscript"/>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reserve</w:t>
            </w:r>
          </w:p>
        </w:tc>
        <w:tc>
          <w:tcPr>
            <w:tcW w:w="14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7"/>
                <w:szCs w:val="17"/>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89"/>
              </w:rPr>
              <w:t>interests</w:t>
            </w:r>
          </w:p>
        </w:tc>
        <w:tc>
          <w:tcPr>
            <w:tcW w:w="16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7"/>
                <w:szCs w:val="17"/>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tcBorders>
              <w:right w:val="single" w:sz="8" w:color="auto"/>
            </w:tcBorders>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4"/>
          </w:tcPr>
          <w:p>
            <w:pPr>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RMB</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spacing w:after="0"/>
              <w:rPr>
                <w:sz w:val="19"/>
                <w:szCs w:val="19"/>
                <w:color w:val="auto"/>
              </w:rPr>
            </w:pPr>
          </w:p>
        </w:tc>
        <w:tc>
          <w:tcPr>
            <w:tcW w:w="500" w:type="dxa"/>
            <w:vAlign w:val="bottom"/>
            <w:gridSpan w:val="3"/>
          </w:tcPr>
          <w:p>
            <w:pPr>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RMB</w:t>
            </w:r>
          </w:p>
        </w:tc>
        <w:tc>
          <w:tcPr>
            <w:tcW w:w="160" w:type="dxa"/>
            <w:vAlign w:val="bottom"/>
            <w:gridSpan w:val="3"/>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9"/>
                <w:szCs w:val="19"/>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9"/>
                <w:szCs w:val="19"/>
                <w:color w:val="auto"/>
              </w:rPr>
            </w:pPr>
          </w:p>
        </w:tc>
        <w:tc>
          <w:tcPr>
            <w:tcW w:w="4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9"/>
                <w:szCs w:val="19"/>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 2023</w:t>
            </w:r>
          </w:p>
        </w:tc>
        <w:tc>
          <w:tcPr>
            <w:tcW w:w="900" w:type="dxa"/>
            <w:vAlign w:val="bottom"/>
            <w:tcBorders>
              <w:right w:val="single" w:sz="8" w:color="CCEEFF"/>
            </w:tcBorders>
            <w:gridSpan w:val="6"/>
            <w:shd w:val="clear" w:color="auto" w:fill="CCEEFF"/>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b w:val="1"/>
                <w:bCs w:val="1"/>
                <w:color w:val="auto"/>
              </w:rPr>
              <w:t>​37,486,524</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26"/>
                <w:szCs w:val="26"/>
                <w:color w:val="auto"/>
                <w:vertAlign w:val="subscript"/>
              </w:rPr>
              <w:t>​</w:t>
            </w:r>
          </w:p>
        </w:tc>
        <w:tc>
          <w:tcPr>
            <w:tcW w:w="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​27</w:t>
            </w:r>
          </w:p>
        </w:tc>
        <w:tc>
          <w:tcPr>
            <w:tcW w:w="880" w:type="dxa"/>
            <w:vAlign w:val="bottom"/>
            <w:tcBorders>
              <w:right w:val="single" w:sz="8" w:color="CCEEFF"/>
            </w:tcBorders>
            <w:gridSpan w:val="4"/>
            <w:shd w:val="clear" w:color="auto" w:fill="CCEEFF"/>
          </w:tcPr>
          <w:p>
            <w:pPr>
              <w:jc w:val="right"/>
              <w:ind w:right="64"/>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b w:val="1"/>
                <w:bCs w:val="1"/>
                <w:color w:val="auto"/>
              </w:rPr>
              <w:t>​69,614,625</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26"/>
                <w:szCs w:val="26"/>
                <w:color w:val="auto"/>
                <w:vertAlign w:val="subscript"/>
              </w:rPr>
              <w:t>​</w:t>
            </w:r>
          </w:p>
        </w:tc>
        <w:tc>
          <w:tcPr>
            <w:tcW w:w="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​51</w:t>
            </w:r>
          </w:p>
        </w:tc>
        <w:tc>
          <w:tcPr>
            <w:tcW w:w="660" w:type="dxa"/>
            <w:vAlign w:val="bottom"/>
            <w:tcBorders>
              <w:right w:val="single" w:sz="8" w:color="CCEEFF"/>
            </w:tcBorders>
            <w:gridSpan w:val="5"/>
            <w:shd w:val="clear" w:color="auto" w:fill="CCEEFF"/>
          </w:tcPr>
          <w:p>
            <w:pPr>
              <w:jc w:val="right"/>
              <w:ind w:right="10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b w:val="1"/>
                <w:bCs w:val="1"/>
                <w:color w:val="auto"/>
              </w:rPr>
              <w:t xml:space="preserve"> ​ 98,666</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​(406,164)</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20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600" w:type="dxa"/>
            <w:vAlign w:val="bottom"/>
            <w:tcBorders>
              <w:righ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73</w:t>
            </w:r>
          </w:p>
        </w:tc>
        <w:tc>
          <w:tcPr>
            <w:tcW w:w="1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​(307,347)</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760" w:type="dxa"/>
            <w:vAlign w:val="bottom"/>
            <w:gridSpan w:val="4"/>
          </w:tcPr>
          <w:p>
            <w:pPr>
              <w:jc w:val="right"/>
              <w:ind w:right="14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00" w:type="dxa"/>
            <w:vAlign w:val="bottom"/>
            <w:gridSpan w:val="2"/>
          </w:tcPr>
          <w:p>
            <w:pPr>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12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760" w:type="dxa"/>
            <w:vAlign w:val="bottom"/>
            <w:gridSpan w:val="2"/>
          </w:tcPr>
          <w:p>
            <w:pPr>
              <w:jc w:val="right"/>
              <w:ind w:right="64"/>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gridSpan w:val="2"/>
          </w:tcPr>
          <w:p>
            <w:pPr>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800,903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20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1,663</w:t>
            </w:r>
          </w:p>
        </w:tc>
        <w:tc>
          <w:tcPr>
            <w:tcW w:w="16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802,566</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40" w:type="dxa"/>
            <w:vAlign w:val="bottom"/>
            <w:gridSpan w:val="2"/>
            <w:shd w:val="clear" w:color="auto" w:fill="CCEEFF"/>
          </w:tcPr>
          <w:p>
            <w:pPr>
              <w:ind w:left="4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760" w:type="dxa"/>
            <w:vAlign w:val="bottom"/>
            <w:tcBorders>
              <w:right w:val="single" w:sz="8" w:color="CCEEFF"/>
            </w:tcBorders>
            <w:gridSpan w:val="4"/>
            <w:shd w:val="clear" w:color="auto" w:fill="CCEEFF"/>
          </w:tcPr>
          <w:p>
            <w:pPr>
              <w:jc w:val="right"/>
              <w:ind w:right="14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760" w:type="dxa"/>
            <w:vAlign w:val="bottom"/>
            <w:tcBorders>
              <w:right w:val="single" w:sz="8" w:color="CCEEFF"/>
            </w:tcBorders>
            <w:gridSpan w:val="2"/>
            <w:shd w:val="clear" w:color="auto" w:fill="CCEEFF"/>
          </w:tcPr>
          <w:p>
            <w:pPr>
              <w:jc w:val="right"/>
              <w:ind w:right="64"/>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CCEEFF"/>
            </w:tcBorders>
            <w:gridSpan w:val="4"/>
            <w:shd w:val="clear" w:color="auto" w:fill="CCEEFF"/>
          </w:tcPr>
          <w:p>
            <w:pPr>
              <w:ind w:left="20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​(9,159)</w:t>
            </w:r>
          </w:p>
        </w:tc>
        <w:tc>
          <w:tcPr>
            <w:tcW w:w="18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(9,159)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non-controlling interests in</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subsidiaries</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6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820</w:t>
            </w:r>
          </w:p>
        </w:tc>
        <w:tc>
          <w:tcPr>
            <w:tcW w:w="16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820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Accretion of convertible redeemable preferred</w:t>
            </w: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to redemption value</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60" w:type="dxa"/>
            <w:vAlign w:val="bottom"/>
            <w:tcBorders>
              <w:right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60" w:type="dxa"/>
            <w:vAlign w:val="bottom"/>
            <w:tcBorders>
              <w:right w:val="single" w:sz="8" w:color="CCEEFF"/>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74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(16,010)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(27,320) ​​​</w:t>
            </w:r>
          </w:p>
        </w:tc>
        <w:tc>
          <w:tcPr>
            <w:tcW w:w="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righ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(43,330)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Appropriation to statutory reserves</w:t>
            </w:r>
          </w:p>
        </w:tc>
        <w:tc>
          <w:tcPr>
            <w:tcW w:w="1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60" w:type="dxa"/>
            <w:vAlign w:val="bottom"/>
            <w:gridSpan w:val="4"/>
          </w:tcPr>
          <w:p>
            <w:pPr>
              <w:jc w:val="right"/>
              <w:ind w:right="14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00" w:type="dxa"/>
            <w:vAlign w:val="bottom"/>
            <w:gridSpan w:val="2"/>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1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60" w:type="dxa"/>
            <w:vAlign w:val="bottom"/>
            <w:gridSpan w:val="2"/>
          </w:tcPr>
          <w:p>
            <w:pPr>
              <w:jc w:val="right"/>
              <w:ind w:right="64"/>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gridSpan w:val="2"/>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276</w:t>
            </w:r>
          </w:p>
        </w:tc>
        <w:tc>
          <w:tcPr>
            <w:tcW w:w="14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injection from non-controlling</w:t>
            </w: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interests</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60" w:type="dxa"/>
            <w:vAlign w:val="bottom"/>
            <w:tcBorders>
              <w:right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60" w:type="dxa"/>
            <w:vAlign w:val="bottom"/>
            <w:tcBorders>
              <w:right w:val="single" w:sz="8" w:color="CCEEFF"/>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righ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540</w:t>
            </w:r>
          </w:p>
        </w:tc>
        <w:tc>
          <w:tcPr>
            <w:tcW w:w="1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540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Dividends to non-controlling interests</w:t>
            </w:r>
          </w:p>
        </w:tc>
        <w:tc>
          <w:tcPr>
            <w:tcW w:w="1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60" w:type="dxa"/>
            <w:vAlign w:val="bottom"/>
            <w:gridSpan w:val="4"/>
          </w:tcPr>
          <w:p>
            <w:pPr>
              <w:jc w:val="right"/>
              <w:ind w:right="14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00" w:type="dxa"/>
            <w:vAlign w:val="bottom"/>
            <w:gridSpan w:val="2"/>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1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60" w:type="dxa"/>
            <w:vAlign w:val="bottom"/>
            <w:gridSpan w:val="2"/>
          </w:tcPr>
          <w:p>
            <w:pPr>
              <w:jc w:val="right"/>
              <w:ind w:right="64"/>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gridSpan w:val="2"/>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​(1,765)</w:t>
            </w:r>
          </w:p>
        </w:tc>
        <w:tc>
          <w:tcPr>
            <w:tcW w:w="16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(1,765)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Exchange of ordinary shares for preferred</w:t>
            </w: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(Note 18)</w:t>
            </w:r>
          </w:p>
        </w:tc>
        <w:tc>
          <w:tcPr>
            <w:tcW w:w="900" w:type="dxa"/>
            <w:vAlign w:val="bottom"/>
            <w:tcBorders>
              <w:right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(1,046,761</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w:t>
            </w:r>
          </w:p>
        </w:tc>
        <w:tc>
          <w:tcPr>
            <w:tcW w:w="880" w:type="dxa"/>
            <w:vAlign w:val="bottom"/>
            <w:tcBorders>
              <w:right w:val="single" w:sz="8" w:color="CCEEFF"/>
            </w:tcBorders>
            <w:gridSpan w:val="4"/>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(1,610,888</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(32,181)</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righ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(32,183)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7"/>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Exchange of Class B ordinary shares for</w:t>
            </w:r>
          </w:p>
        </w:tc>
        <w:tc>
          <w:tcPr>
            <w:tcW w:w="60" w:type="dxa"/>
            <w:vAlign w:val="bottom"/>
          </w:tcPr>
          <w:p>
            <w:pPr>
              <w:spacing w:after="0"/>
              <w:rPr>
                <w:sz w:val="17"/>
                <w:szCs w:val="17"/>
                <w:color w:val="auto"/>
              </w:rPr>
            </w:pP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2,729,630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1</w:t>
            </w:r>
          </w:p>
        </w:tc>
        <w:tc>
          <w:tcPr>
            <w:tcW w:w="40" w:type="dxa"/>
            <w:vAlign w:val="bottom"/>
          </w:tcPr>
          <w:p>
            <w:pPr>
              <w:spacing w:after="0"/>
              <w:rPr>
                <w:sz w:val="17"/>
                <w:szCs w:val="17"/>
                <w:color w:val="auto"/>
              </w:rPr>
            </w:pPr>
          </w:p>
        </w:tc>
        <w:tc>
          <w:tcPr>
            <w:tcW w:w="840" w:type="dxa"/>
            <w:vAlign w:val="bottom"/>
            <w:gridSpan w:val="3"/>
            <w:vMerge w:val="restart"/>
          </w:tcPr>
          <w:p>
            <w:pPr>
              <w:jc w:val="right"/>
              <w:ind w:right="84"/>
              <w:spacing w:after="0"/>
              <w:rPr>
                <w:sz w:val="20"/>
                <w:szCs w:val="20"/>
                <w:color w:val="auto"/>
              </w:rPr>
            </w:pPr>
            <w:r>
              <w:rPr>
                <w:rFonts w:ascii="Times New Roman" w:cs="Times New Roman" w:eastAsia="Times New Roman" w:hAnsi="Times New Roman"/>
                <w:sz w:val="14"/>
                <w:szCs w:val="14"/>
                <w:color w:val="auto"/>
              </w:rPr>
              <w:t>​(2,729,630)</w:t>
            </w: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82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Class A ordinary shares (Note 18)</w:t>
            </w:r>
          </w:p>
        </w:tc>
        <w:tc>
          <w:tcPr>
            <w:tcW w:w="6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14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6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1"/>
        </w:trPr>
        <w:tc>
          <w:tcPr>
            <w:tcW w:w="2820" w:type="dxa"/>
            <w:vAlign w:val="bottom"/>
          </w:tcPr>
          <w:p>
            <w:pPr>
              <w:spacing w:after="0"/>
              <w:rPr>
                <w:sz w:val="7"/>
                <w:szCs w:val="7"/>
                <w:color w:val="auto"/>
              </w:rPr>
            </w:pPr>
          </w:p>
        </w:tc>
        <w:tc>
          <w:tcPr>
            <w:tcW w:w="140" w:type="dxa"/>
            <w:vAlign w:val="bottom"/>
            <w:gridSpan w:val="2"/>
          </w:tcPr>
          <w:p>
            <w:pPr>
              <w:ind w:left="40"/>
              <w:spacing w:after="0" w:line="81"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30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spacing w:after="0"/>
              <w:rPr>
                <w:sz w:val="7"/>
                <w:szCs w:val="7"/>
                <w:color w:val="auto"/>
              </w:rPr>
            </w:pPr>
          </w:p>
        </w:tc>
        <w:tc>
          <w:tcPr>
            <w:tcW w:w="180" w:type="dxa"/>
            <w:vAlign w:val="bottom"/>
          </w:tcPr>
          <w:p>
            <w:pPr>
              <w:jc w:val="right"/>
              <w:ind w:right="64"/>
              <w:spacing w:after="0" w:line="81" w:lineRule="exact"/>
              <w:rPr>
                <w:sz w:val="20"/>
                <w:szCs w:val="20"/>
                <w:color w:val="auto"/>
              </w:rPr>
            </w:pP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9"/>
                <w:szCs w:val="9"/>
                <w:color w:val="auto"/>
              </w:rPr>
              <w:t>​</w:t>
            </w:r>
          </w:p>
        </w:tc>
        <w:tc>
          <w:tcPr>
            <w:tcW w:w="32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3"/>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240" w:type="dxa"/>
            <w:vAlign w:val="bottom"/>
            <w:gridSpan w:val="2"/>
          </w:tcPr>
          <w:p>
            <w:pPr>
              <w:ind w:left="200"/>
              <w:spacing w:after="0" w:line="81" w:lineRule="exact"/>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900" w:type="dxa"/>
            <w:vAlign w:val="bottom"/>
            <w:tcBorders>
              <w:right w:val="single" w:sz="8" w:color="CCEEFF"/>
            </w:tcBorders>
            <w:gridSpan w:val="6"/>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​39,169,393</w:t>
            </w:r>
            <w:r>
              <w:rPr>
                <w:rFonts w:ascii="Times New Roman" w:cs="Times New Roman" w:eastAsia="Times New Roman" w:hAnsi="Times New Roman"/>
                <w:sz w:val="28"/>
                <w:szCs w:val="28"/>
                <w:b w:val="1"/>
                <w:bCs w:val="1"/>
                <w:color w:val="auto"/>
                <w:vertAlign w:val="subscript"/>
              </w:rPr>
              <w:t>​​</w:t>
            </w:r>
          </w:p>
        </w:tc>
        <w:tc>
          <w:tcPr>
            <w:tcW w:w="300" w:type="dxa"/>
            <w:vAlign w:val="bottom"/>
            <w:tcBorders>
              <w:right w:val="single" w:sz="8" w:color="CCEEFF"/>
            </w:tcBorders>
            <w:gridSpan w:val="2"/>
            <w:shd w:val="clear" w:color="auto" w:fill="CCEEFF"/>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​27</w:t>
            </w:r>
          </w:p>
        </w:tc>
        <w:tc>
          <w:tcPr>
            <w:tcW w:w="880" w:type="dxa"/>
            <w:vAlign w:val="bottom"/>
            <w:tcBorders>
              <w:right w:val="single" w:sz="8" w:color="CCEEFF"/>
            </w:tcBorders>
            <w:gridSpan w:val="4"/>
            <w:shd w:val="clear" w:color="auto" w:fill="CCEEFF"/>
          </w:tcPr>
          <w:p>
            <w:pPr>
              <w:jc w:val="right"/>
              <w:ind w:right="64"/>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​65,274,107</w:t>
            </w:r>
            <w:r>
              <w:rPr>
                <w:rFonts w:ascii="Times New Roman" w:cs="Times New Roman" w:eastAsia="Times New Roman" w:hAnsi="Times New Roman"/>
                <w:sz w:val="28"/>
                <w:szCs w:val="28"/>
                <w:b w:val="1"/>
                <w:bCs w:val="1"/>
                <w:color w:val="auto"/>
                <w:vertAlign w:val="subscript"/>
              </w:rPr>
              <w:t>​​</w:t>
            </w:r>
          </w:p>
        </w:tc>
        <w:tc>
          <w:tcPr>
            <w:tcW w:w="320" w:type="dxa"/>
            <w:vAlign w:val="bottom"/>
            <w:tcBorders>
              <w:right w:val="single" w:sz="8" w:color="CCEEFF"/>
            </w:tcBorders>
            <w:gridSpan w:val="2"/>
            <w:shd w:val="clear" w:color="auto" w:fill="CCEEFF"/>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​49</w:t>
            </w:r>
          </w:p>
        </w:tc>
        <w:tc>
          <w:tcPr>
            <w:tcW w:w="660" w:type="dxa"/>
            <w:vAlign w:val="bottom"/>
            <w:tcBorders>
              <w:right w:val="single" w:sz="8" w:color="CCEEFF"/>
            </w:tcBorders>
            <w:gridSpan w:val="5"/>
            <w:shd w:val="clear" w:color="auto" w:fill="CCEEFF"/>
          </w:tcPr>
          <w:p>
            <w:pPr>
              <w:jc w:val="right"/>
              <w:ind w:right="10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82,656</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23"/>
                <w:szCs w:val="23"/>
                <w:color w:val="auto"/>
              </w:rPr>
            </w:pPr>
          </w:p>
        </w:tc>
        <w:tc>
          <w:tcPr>
            <w:tcW w:w="420" w:type="dxa"/>
            <w:vAlign w:val="bottom"/>
            <w:tcBorders>
              <w:right w:val="single" w:sz="8" w:color="CCEEFF"/>
            </w:tcBorders>
            <w:gridSpan w:val="3"/>
            <w:shd w:val="clear" w:color="auto" w:fill="CCEEFF"/>
          </w:tcPr>
          <w:p>
            <w:pPr>
              <w:jc w:val="right"/>
              <w:ind w:right="18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​276</w:t>
            </w:r>
          </w:p>
        </w:tc>
        <w:tc>
          <w:tcPr>
            <w:tcW w:w="14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right w:val="single" w:sz="8" w:color="CCEEFF"/>
            </w:tcBorders>
            <w:gridSpan w:val="3"/>
            <w:shd w:val="clear" w:color="auto" w:fill="CCEEFF"/>
          </w:tcPr>
          <w:p>
            <w:pPr>
              <w:jc w:val="right"/>
              <w:ind w:right="1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334,962</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right w:val="single" w:sz="8" w:color="CCEEFF"/>
            </w:tcBorders>
            <w:gridSpan w:val="4"/>
            <w:shd w:val="clear" w:color="auto" w:fill="CCEEFF"/>
          </w:tcPr>
          <w:p>
            <w:pPr>
              <w:ind w:left="20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​(9,159)</w:t>
            </w:r>
          </w:p>
        </w:tc>
        <w:tc>
          <w:tcPr>
            <w:tcW w:w="180" w:type="dxa"/>
            <w:vAlign w:val="bottom"/>
            <w:tcBorders>
              <w:right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​1,331</w:t>
            </w:r>
          </w:p>
        </w:tc>
        <w:tc>
          <w:tcPr>
            <w:tcW w:w="1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shd w:val="clear" w:color="auto" w:fill="CCEEFF"/>
          </w:tcPr>
          <w:p>
            <w:pPr>
              <w:jc w:val="right"/>
              <w:ind w:right="1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410,142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6414770</wp:posOffset>
            </wp:positionH>
            <wp:positionV relativeFrom="paragraph">
              <wp:posOffset>-205105</wp:posOffset>
            </wp:positionV>
            <wp:extent cx="7747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-205105</wp:posOffset>
            </wp:positionV>
            <wp:extent cx="18859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5368925</wp:posOffset>
            </wp:positionH>
            <wp:positionV relativeFrom="paragraph">
              <wp:posOffset>-205105</wp:posOffset>
            </wp:positionV>
            <wp:extent cx="26543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-205105</wp:posOffset>
            </wp:positionV>
            <wp:extent cx="25717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-205105</wp:posOffset>
            </wp:positionV>
            <wp:extent cx="20574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-205105</wp:posOffset>
            </wp:positionV>
            <wp:extent cx="17970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-205105</wp:posOffset>
            </wp:positionV>
            <wp:extent cx="3860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-205105</wp:posOffset>
            </wp:positionV>
            <wp:extent cx="258889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10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222" w:name="page223"/>
    <w:bookmarkEnd w:id="2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(DEFICIT)/EQUITY (continued)</w:t>
      </w: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or otherwise noted)</w:t>
      </w:r>
    </w:p>
    <w:p>
      <w:pPr>
        <w:spacing w:after="0" w:line="205" w:lineRule="exact"/>
        <w:rPr>
          <w:sz w:val="20"/>
          <w:szCs w:val="20"/>
          <w:color w:val="auto"/>
        </w:rPr>
      </w:pPr>
    </w:p>
    <w:tbl>
      <w:tblPr>
        <w:tblLayout w:type="fixed"/>
        <w:tblInd w:w="500" w:type="dxa"/>
        <w:tblCellMar>
          <w:top w:w="0" w:type="dxa"/>
          <w:left w:w="0" w:type="dxa"/>
          <w:bottom w:w="0" w:type="dxa"/>
          <w:right w:w="0" w:type="dxa"/>
        </w:tblCellMar>
      </w:tblPr>
      <w:tr>
        <w:trPr>
          <w:trHeight w:val="169"/>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left="150"/>
              <w:spacing w:after="0"/>
              <w:rPr>
                <w:sz w:val="20"/>
                <w:szCs w:val="20"/>
                <w:color w:val="auto"/>
              </w:rPr>
            </w:pPr>
            <w:r>
              <w:rPr>
                <w:rFonts w:ascii="Times New Roman" w:cs="Times New Roman" w:eastAsia="Times New Roman" w:hAnsi="Times New Roman"/>
                <w:sz w:val="13"/>
                <w:szCs w:val="13"/>
                <w:b w:val="1"/>
                <w:bCs w:val="1"/>
                <w:color w:val="auto"/>
                <w:w w:val="89"/>
              </w:rPr>
              <w:t>Class 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left="150"/>
              <w:spacing w:after="0"/>
              <w:rPr>
                <w:sz w:val="20"/>
                <w:szCs w:val="20"/>
                <w:color w:val="auto"/>
              </w:rPr>
            </w:pPr>
            <w:r>
              <w:rPr>
                <w:rFonts w:ascii="Times New Roman" w:cs="Times New Roman" w:eastAsia="Times New Roman" w:hAnsi="Times New Roman"/>
                <w:sz w:val="13"/>
                <w:szCs w:val="13"/>
                <w:b w:val="1"/>
                <w:bCs w:val="1"/>
                <w:color w:val="auto"/>
                <w:w w:val="91"/>
              </w:rPr>
              <w:t>Class B</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Accumulative</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Ordinary Shares</w:t>
            </w:r>
          </w:p>
        </w:tc>
        <w:tc>
          <w:tcPr>
            <w:tcW w:w="16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Ordinary Shares</w:t>
            </w:r>
          </w:p>
        </w:tc>
        <w:tc>
          <w:tcPr>
            <w:tcW w:w="16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160" w:type="dxa"/>
            <w:vAlign w:val="bottom"/>
          </w:tcPr>
          <w:p>
            <w:pPr>
              <w:spacing w:after="0"/>
              <w:rPr>
                <w:sz w:val="12"/>
                <w:szCs w:val="12"/>
                <w:color w:val="auto"/>
              </w:rPr>
            </w:pPr>
          </w:p>
        </w:tc>
        <w:tc>
          <w:tcPr>
            <w:tcW w:w="6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200" w:type="dxa"/>
            <w:vAlign w:val="bottom"/>
          </w:tcPr>
          <w:p>
            <w:pPr>
              <w:spacing w:after="0"/>
              <w:rPr>
                <w:sz w:val="12"/>
                <w:szCs w:val="12"/>
                <w:color w:val="auto"/>
              </w:rPr>
            </w:pPr>
          </w:p>
        </w:tc>
        <w:tc>
          <w:tcPr>
            <w:tcW w:w="48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gridSpan w:val="3"/>
            <w:vMerge w:val="restart"/>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w w:val="90"/>
              </w:rPr>
              <w:t>paid-in</w:t>
            </w:r>
          </w:p>
        </w:tc>
        <w:tc>
          <w:tcPr>
            <w:tcW w:w="120" w:type="dxa"/>
            <w:vAlign w:val="bottom"/>
          </w:tcPr>
          <w:p>
            <w:pPr>
              <w:spacing w:after="0"/>
              <w:rPr>
                <w:sz w:val="4"/>
                <w:szCs w:val="4"/>
                <w:color w:val="auto"/>
              </w:rPr>
            </w:pPr>
          </w:p>
        </w:tc>
        <w:tc>
          <w:tcPr>
            <w:tcW w:w="600" w:type="dxa"/>
            <w:vAlign w:val="bottom"/>
            <w:gridSpan w:val="4"/>
            <w:vMerge w:val="restart"/>
          </w:tcPr>
          <w:p>
            <w:pPr>
              <w:jc w:val="center"/>
              <w:ind w:right="88"/>
              <w:spacing w:after="0" w:line="115" w:lineRule="exact"/>
              <w:rPr>
                <w:sz w:val="20"/>
                <w:szCs w:val="20"/>
                <w:color w:val="auto"/>
              </w:rPr>
            </w:pPr>
            <w:r>
              <w:rPr>
                <w:rFonts w:ascii="Times New Roman" w:cs="Times New Roman" w:eastAsia="Times New Roman" w:hAnsi="Times New Roman"/>
                <w:sz w:val="13"/>
                <w:szCs w:val="13"/>
                <w:b w:val="1"/>
                <w:bCs w:val="1"/>
                <w:color w:val="auto"/>
                <w:w w:val="83"/>
              </w:rPr>
              <w:t>Statutory</w:t>
            </w:r>
          </w:p>
        </w:tc>
        <w:tc>
          <w:tcPr>
            <w:tcW w:w="540" w:type="dxa"/>
            <w:vAlign w:val="bottom"/>
            <w:vMerge w:val="restart"/>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120" w:type="dxa"/>
            <w:vAlign w:val="bottom"/>
          </w:tcPr>
          <w:p>
            <w:pPr>
              <w:spacing w:after="0"/>
              <w:rPr>
                <w:sz w:val="4"/>
                <w:szCs w:val="4"/>
                <w:color w:val="auto"/>
              </w:rPr>
            </w:pPr>
          </w:p>
        </w:tc>
        <w:tc>
          <w:tcPr>
            <w:tcW w:w="780" w:type="dxa"/>
            <w:vAlign w:val="bottom"/>
            <w:gridSpan w:val="4"/>
            <w:vMerge w:val="restart"/>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1"/>
              </w:rPr>
              <w:t>comprehensive</w:t>
            </w:r>
          </w:p>
        </w:tc>
        <w:tc>
          <w:tcPr>
            <w:tcW w:w="200" w:type="dxa"/>
            <w:vAlign w:val="bottom"/>
          </w:tcPr>
          <w:p>
            <w:pPr>
              <w:spacing w:after="0"/>
              <w:rPr>
                <w:sz w:val="4"/>
                <w:szCs w:val="4"/>
                <w:color w:val="auto"/>
              </w:rPr>
            </w:pPr>
          </w:p>
        </w:tc>
        <w:tc>
          <w:tcPr>
            <w:tcW w:w="480" w:type="dxa"/>
            <w:vAlign w:val="bottom"/>
            <w:vMerge w:val="restart"/>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72"/>
              </w:rPr>
              <w:t>controlling</w:t>
            </w:r>
          </w:p>
        </w:tc>
        <w:tc>
          <w:tcPr>
            <w:tcW w:w="120" w:type="dxa"/>
            <w:vAlign w:val="bottom"/>
          </w:tcPr>
          <w:p>
            <w:pPr>
              <w:spacing w:after="0"/>
              <w:rPr>
                <w:sz w:val="4"/>
                <w:szCs w:val="4"/>
                <w:color w:val="auto"/>
              </w:rPr>
            </w:pPr>
          </w:p>
        </w:tc>
        <w:tc>
          <w:tcPr>
            <w:tcW w:w="680" w:type="dxa"/>
            <w:vAlign w:val="bottom"/>
            <w:gridSpan w:val="2"/>
            <w:vMerge w:val="restart"/>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86"/>
              </w:rPr>
              <w:t>shareholders’</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gridSpan w:val="7"/>
            <w:vMerge w:val="restart"/>
          </w:tcPr>
          <w:p>
            <w:pPr>
              <w:jc w:val="right"/>
              <w:ind w:right="8"/>
              <w:spacing w:after="0" w:line="22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5"/>
                <w:szCs w:val="25"/>
                <w:b w:val="1"/>
                <w:bCs w:val="1"/>
                <w:color w:val="auto"/>
                <w:vertAlign w:val="subscript"/>
              </w:rPr>
              <w:t>​​</w:t>
            </w:r>
          </w:p>
        </w:tc>
        <w:tc>
          <w:tcPr>
            <w:tcW w:w="1200" w:type="dxa"/>
            <w:vAlign w:val="bottom"/>
            <w:gridSpan w:val="7"/>
            <w:vMerge w:val="restart"/>
          </w:tcPr>
          <w:p>
            <w:pPr>
              <w:jc w:val="right"/>
              <w:ind w:right="8"/>
              <w:spacing w:after="0" w:line="22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5"/>
                <w:szCs w:val="25"/>
                <w:b w:val="1"/>
                <w:bCs w:val="1"/>
                <w:color w:val="auto"/>
                <w:vertAlign w:val="subscript"/>
              </w:rPr>
              <w:t>​​</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20" w:type="dxa"/>
            <w:vAlign w:val="bottom"/>
            <w:gridSpan w:val="5"/>
            <w:vMerge w:val="restart"/>
          </w:tcPr>
          <w:p>
            <w:pPr>
              <w:jc w:val="right"/>
              <w:ind w:right="6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5"/>
                <w:szCs w:val="25"/>
                <w:b w:val="1"/>
                <w:bCs w:val="1"/>
                <w:color w:val="auto"/>
                <w:vertAlign w:val="subscript"/>
              </w:rPr>
              <w:t>​​</w:t>
            </w:r>
          </w:p>
        </w:tc>
        <w:tc>
          <w:tcPr>
            <w:tcW w:w="50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gridSpan w:val="4"/>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4"/>
            <w:vMerge w:val="continue"/>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gridSpan w:val="7"/>
            <w:vMerge w:val="continue"/>
          </w:tcPr>
          <w:p>
            <w:pPr>
              <w:spacing w:after="0"/>
              <w:rPr>
                <w:sz w:val="15"/>
                <w:szCs w:val="15"/>
                <w:color w:val="auto"/>
              </w:rPr>
            </w:pPr>
          </w:p>
        </w:tc>
        <w:tc>
          <w:tcPr>
            <w:tcW w:w="1200" w:type="dxa"/>
            <w:vAlign w:val="bottom"/>
            <w:gridSpan w:val="7"/>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72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0"/>
              </w:rPr>
              <w:t>capital</w:t>
            </w:r>
          </w:p>
        </w:tc>
        <w:tc>
          <w:tcPr>
            <w:tcW w:w="60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reserve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earnings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(loss)/income</w:t>
            </w:r>
          </w:p>
        </w:tc>
        <w:tc>
          <w:tcPr>
            <w:tcW w:w="680" w:type="dxa"/>
            <w:vAlign w:val="bottom"/>
            <w:gridSpan w:val="2"/>
          </w:tcPr>
          <w:p>
            <w:pPr>
              <w:jc w:val="right"/>
              <w:ind w:right="10"/>
              <w:spacing w:after="0" w:line="183"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1"/>
                <w:szCs w:val="11"/>
                <w:b w:val="1"/>
                <w:bCs w:val="1"/>
                <w:color w:val="auto"/>
              </w:rPr>
              <w:t xml:space="preserve"> interests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6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2"/>
              </w:rPr>
              <w:t>equity</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spacing w:after="0"/>
              <w:rPr>
                <w:sz w:val="15"/>
                <w:szCs w:val="15"/>
                <w:color w:val="auto"/>
              </w:rPr>
            </w:pPr>
          </w:p>
        </w:tc>
        <w:tc>
          <w:tcPr>
            <w:tcW w:w="480" w:type="dxa"/>
            <w:vAlign w:val="bottom"/>
            <w:gridSpan w:val="4"/>
          </w:tcPr>
          <w:p>
            <w:pPr>
              <w:spacing w:after="0" w:line="173" w:lineRule="exact"/>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0"/>
                <w:szCs w:val="20"/>
                <w:b w:val="1"/>
                <w:bCs w:val="1"/>
                <w:color w:val="auto"/>
                <w:vertAlign w:val="superscript"/>
              </w:rPr>
              <w:t>RMB</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spacing w:after="0"/>
              <w:rPr>
                <w:sz w:val="15"/>
                <w:szCs w:val="15"/>
                <w:color w:val="auto"/>
              </w:rPr>
            </w:pPr>
          </w:p>
        </w:tc>
        <w:tc>
          <w:tcPr>
            <w:tcW w:w="480" w:type="dxa"/>
            <w:vAlign w:val="bottom"/>
            <w:gridSpan w:val="4"/>
          </w:tcPr>
          <w:p>
            <w:pPr>
              <w:spacing w:after="0" w:line="173" w:lineRule="exact"/>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20"/>
                <w:szCs w:val="20"/>
                <w:b w:val="1"/>
                <w:bCs w:val="1"/>
                <w:color w:val="auto"/>
                <w:vertAlign w:val="superscript"/>
              </w:rPr>
              <w:t>RMB</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spacing w:after="0"/>
              <w:rPr>
                <w:sz w:val="15"/>
                <w:szCs w:val="15"/>
                <w:color w:val="auto"/>
              </w:rPr>
            </w:pPr>
          </w:p>
        </w:tc>
        <w:tc>
          <w:tcPr>
            <w:tcW w:w="420" w:type="dxa"/>
            <w:vAlign w:val="bottom"/>
            <w:gridSpan w:val="2"/>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5"/>
                <w:szCs w:val="15"/>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5"/>
                <w:szCs w:val="15"/>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RMB</w:t>
            </w:r>
          </w:p>
        </w:tc>
        <w:tc>
          <w:tcPr>
            <w:tcW w:w="240" w:type="dxa"/>
            <w:vAlign w:val="bottom"/>
            <w:gridSpan w:val="2"/>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 ​</w:t>
            </w:r>
          </w:p>
        </w:tc>
        <w:tc>
          <w:tcPr>
            <w:tcW w:w="36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RMB</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5"/>
                <w:szCs w:val="15"/>
                <w:color w:val="auto"/>
              </w:rPr>
            </w:pPr>
          </w:p>
        </w:tc>
        <w:tc>
          <w:tcPr>
            <w:tcW w:w="2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2"/>
              </w:rPr>
              <w:t>RMB</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6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2"/>
              </w:rPr>
              <w:t>RMB</w:t>
            </w:r>
          </w:p>
        </w:tc>
        <w:tc>
          <w:tcPr>
            <w:tcW w:w="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3"/>
        </w:trPr>
        <w:tc>
          <w:tcPr>
            <w:tcW w:w="18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76"/>
        </w:trPr>
        <w:tc>
          <w:tcPr>
            <w:tcW w:w="26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Balance as of January 1, 2024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​39,169,393</w:t>
            </w: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27</w:t>
            </w:r>
          </w:p>
        </w:tc>
        <w:tc>
          <w:tcPr>
            <w:tcW w:w="8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​65,274,107</w:t>
            </w: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49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98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​82,656</w:t>
            </w:r>
          </w:p>
        </w:tc>
        <w:tc>
          <w:tcPr>
            <w:tcW w:w="2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276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334,962</w:t>
            </w:r>
            <w:r>
              <w:rPr>
                <w:rFonts w:ascii="Times New Roman" w:cs="Times New Roman" w:eastAsia="Times New Roman" w:hAnsi="Times New Roman"/>
                <w:sz w:val="14"/>
                <w:szCs w:val="14"/>
                <w:color w:val="auto"/>
              </w:rPr>
              <w:t>​​​</w:t>
            </w:r>
          </w:p>
        </w:tc>
        <w:tc>
          <w:tcPr>
            <w:tcW w:w="78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​(9,159)</w:t>
            </w: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1,331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410,142</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98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2,516,114​​​</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ind w:right="137"/>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17,368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2,533,482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tcBorders>
              <w:left w:val="single" w:sz="8" w:color="CCEEFF"/>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98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11,756</w:t>
            </w: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11,756</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ordinary</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480" w:type="dxa"/>
            <w:vAlign w:val="bottom"/>
            <w:gridSpan w:val="9"/>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(5,699,608​​​)</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(210,082​​​) </w:t>
            </w:r>
            <w:r>
              <w:rPr>
                <w:rFonts w:ascii="Times New Roman" w:cs="Times New Roman" w:eastAsia="Times New Roman" w:hAnsi="Times New Roman"/>
                <w:sz w:val="14"/>
                <w:szCs w:val="14"/>
                <w:b w:val="1"/>
                <w:bCs w:val="1"/>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ind w:right="13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(210,082)</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of a subsidiary</w:t>
            </w: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 non-controlling</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980" w:type="dxa"/>
            <w:vAlign w:val="bottom"/>
            <w:gridSpan w:val="3"/>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34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6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6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right w:val="single" w:sz="8" w:color="CCEEFF"/>
            </w:tcBorders>
            <w:gridSpan w:val="2"/>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19,476 ​​​ </w:t>
            </w:r>
            <w:r>
              <w:rPr>
                <w:rFonts w:ascii="Times New Roman" w:cs="Times New Roman" w:eastAsia="Times New Roman" w:hAnsi="Times New Roman"/>
                <w:sz w:val="14"/>
                <w:szCs w:val="14"/>
                <w:b w:val="1"/>
                <w:bCs w:val="1"/>
                <w:color w:val="auto"/>
              </w:rPr>
              <w:t>​</w:t>
            </w: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19,476</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interests</w:t>
            </w:r>
          </w:p>
        </w:tc>
        <w:tc>
          <w:tcPr>
            <w:tcW w:w="160" w:type="dxa"/>
            <w:vAlign w:val="bottom"/>
            <w:gridSpan w:val="2"/>
            <w:vMerge w:val="continue"/>
            <w:shd w:val="clear" w:color="auto" w:fill="CCEEFF"/>
          </w:tcPr>
          <w:p>
            <w:pPr>
              <w:spacing w:after="0"/>
              <w:rPr>
                <w:sz w:val="16"/>
                <w:szCs w:val="16"/>
                <w:color w:val="auto"/>
              </w:rPr>
            </w:pPr>
          </w:p>
        </w:tc>
        <w:tc>
          <w:tcPr>
            <w:tcW w:w="720" w:type="dxa"/>
            <w:vAlign w:val="bottom"/>
            <w:gridSpan w:val="3"/>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720" w:type="dxa"/>
            <w:vAlign w:val="bottom"/>
            <w:gridSpan w:val="3"/>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980" w:type="dxa"/>
            <w:vAlign w:val="bottom"/>
            <w:gridSpan w:val="3"/>
            <w:vMerge w:val="continue"/>
            <w:shd w:val="clear" w:color="auto" w:fill="CCEEFF"/>
          </w:tcPr>
          <w:p>
            <w:pPr>
              <w:spacing w:after="0"/>
              <w:rPr>
                <w:sz w:val="16"/>
                <w:szCs w:val="16"/>
                <w:color w:val="auto"/>
              </w:rPr>
            </w:pPr>
          </w:p>
        </w:tc>
        <w:tc>
          <w:tcPr>
            <w:tcW w:w="340" w:type="dxa"/>
            <w:vAlign w:val="bottom"/>
            <w:gridSpan w:val="4"/>
            <w:vMerge w:val="continue"/>
            <w:shd w:val="clear" w:color="auto" w:fill="CCEEFF"/>
          </w:tcPr>
          <w:p>
            <w:pPr>
              <w:spacing w:after="0"/>
              <w:rPr>
                <w:sz w:val="16"/>
                <w:szCs w:val="16"/>
                <w:color w:val="auto"/>
              </w:rPr>
            </w:pPr>
          </w:p>
        </w:tc>
        <w:tc>
          <w:tcPr>
            <w:tcW w:w="460" w:type="dxa"/>
            <w:vAlign w:val="bottom"/>
            <w:tcBorders>
              <w:right w:val="single" w:sz="8" w:color="CCEEFF"/>
            </w:tcBorders>
            <w:gridSpan w:val="2"/>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480" w:type="dxa"/>
            <w:vAlign w:val="bottom"/>
            <w:gridSpan w:val="3"/>
            <w:vMerge w:val="continue"/>
            <w:shd w:val="clear" w:color="auto" w:fill="CCEEFF"/>
          </w:tcPr>
          <w:p>
            <w:pPr>
              <w:spacing w:after="0"/>
              <w:rPr>
                <w:sz w:val="16"/>
                <w:szCs w:val="16"/>
                <w:color w:val="auto"/>
              </w:rPr>
            </w:pPr>
          </w:p>
        </w:tc>
        <w:tc>
          <w:tcPr>
            <w:tcW w:w="660" w:type="dxa"/>
            <w:vAlign w:val="bottom"/>
            <w:tcBorders>
              <w:right w:val="single" w:sz="8" w:color="CCEEFF"/>
            </w:tcBorders>
            <w:gridSpan w:val="2"/>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560" w:type="dxa"/>
            <w:vAlign w:val="bottom"/>
            <w:tcBorders>
              <w:right w:val="single" w:sz="8" w:color="CCEEFF"/>
            </w:tcBorders>
            <w:gridSpan w:val="2"/>
            <w:vMerge w:val="continue"/>
            <w:shd w:val="clear" w:color="auto" w:fill="CCEEFF"/>
          </w:tcPr>
          <w:p>
            <w:pPr>
              <w:spacing w:after="0"/>
              <w:rPr>
                <w:sz w:val="16"/>
                <w:szCs w:val="16"/>
                <w:color w:val="auto"/>
              </w:rPr>
            </w:pPr>
          </w:p>
        </w:tc>
        <w:tc>
          <w:tcPr>
            <w:tcW w:w="880" w:type="dxa"/>
            <w:vAlign w:val="bottom"/>
            <w:gridSpan w:val="4"/>
            <w:vMerge w:val="continue"/>
            <w:shd w:val="clear" w:color="auto" w:fill="CCEEFF"/>
          </w:tcPr>
          <w:p>
            <w:pPr>
              <w:spacing w:after="0"/>
              <w:rPr>
                <w:sz w:val="16"/>
                <w:szCs w:val="16"/>
                <w:color w:val="auto"/>
              </w:rPr>
            </w:pPr>
          </w:p>
        </w:tc>
        <w:tc>
          <w:tcPr>
            <w:tcW w:w="600" w:type="dxa"/>
            <w:vAlign w:val="bottom"/>
            <w:tcBorders>
              <w:right w:val="single" w:sz="8" w:color="CCEEFF"/>
            </w:tcBorders>
            <w:vMerge w:val="continue"/>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Accretion of convertible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redeemable preferred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to redemption</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980" w:type="dxa"/>
            <w:vAlign w:val="bottom"/>
            <w:gridSpan w:val="3"/>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3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(62,000​​​)</w:t>
            </w:r>
          </w:p>
        </w:tc>
        <w:tc>
          <w:tcPr>
            <w:tcW w:w="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(62,000)</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value</w:t>
            </w:r>
          </w:p>
        </w:tc>
        <w:tc>
          <w:tcPr>
            <w:tcW w:w="160" w:type="dxa"/>
            <w:vAlign w:val="bottom"/>
            <w:gridSpan w:val="2"/>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340" w:type="dxa"/>
            <w:vAlign w:val="bottom"/>
            <w:gridSpan w:val="4"/>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48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Accretion of redeemable</w:t>
            </w: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tcBorders>
              <w:left w:val="single" w:sz="8" w:color="CCEEFF"/>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980" w:type="dxa"/>
            <w:vAlign w:val="bottom"/>
            <w:gridSpan w:val="3"/>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34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6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6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(18,891​​​)</w:t>
            </w:r>
          </w:p>
        </w:tc>
        <w:tc>
          <w:tcPr>
            <w:tcW w:w="22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right w:val="single" w:sz="8" w:color="CCEEFF"/>
            </w:tcBorders>
            <w:gridSpan w:val="2"/>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(18,891)</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 redemption value</w:t>
            </w:r>
          </w:p>
        </w:tc>
        <w:tc>
          <w:tcPr>
            <w:tcW w:w="160" w:type="dxa"/>
            <w:vAlign w:val="bottom"/>
            <w:gridSpan w:val="2"/>
            <w:vMerge w:val="continue"/>
            <w:shd w:val="clear" w:color="auto" w:fill="CCEEFF"/>
          </w:tcPr>
          <w:p>
            <w:pPr>
              <w:spacing w:after="0"/>
              <w:rPr>
                <w:sz w:val="16"/>
                <w:szCs w:val="16"/>
                <w:color w:val="auto"/>
              </w:rPr>
            </w:pPr>
          </w:p>
        </w:tc>
        <w:tc>
          <w:tcPr>
            <w:tcW w:w="720" w:type="dxa"/>
            <w:vAlign w:val="bottom"/>
            <w:gridSpan w:val="3"/>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720" w:type="dxa"/>
            <w:vAlign w:val="bottom"/>
            <w:gridSpan w:val="3"/>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980" w:type="dxa"/>
            <w:vAlign w:val="bottom"/>
            <w:gridSpan w:val="3"/>
            <w:vMerge w:val="continue"/>
            <w:shd w:val="clear" w:color="auto" w:fill="CCEEFF"/>
          </w:tcPr>
          <w:p>
            <w:pPr>
              <w:spacing w:after="0"/>
              <w:rPr>
                <w:sz w:val="16"/>
                <w:szCs w:val="16"/>
                <w:color w:val="auto"/>
              </w:rPr>
            </w:pPr>
          </w:p>
        </w:tc>
        <w:tc>
          <w:tcPr>
            <w:tcW w:w="340" w:type="dxa"/>
            <w:vAlign w:val="bottom"/>
            <w:gridSpan w:val="4"/>
            <w:vMerge w:val="continue"/>
            <w:shd w:val="clear" w:color="auto" w:fill="CCEEFF"/>
          </w:tcPr>
          <w:p>
            <w:pPr>
              <w:spacing w:after="0"/>
              <w:rPr>
                <w:sz w:val="16"/>
                <w:szCs w:val="16"/>
                <w:color w:val="auto"/>
              </w:rPr>
            </w:pPr>
          </w:p>
        </w:tc>
        <w:tc>
          <w:tcPr>
            <w:tcW w:w="460" w:type="dxa"/>
            <w:vAlign w:val="bottom"/>
            <w:tcBorders>
              <w:right w:val="single" w:sz="8" w:color="CCEEFF"/>
            </w:tcBorders>
            <w:gridSpan w:val="2"/>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480" w:type="dxa"/>
            <w:vAlign w:val="bottom"/>
            <w:gridSpan w:val="3"/>
            <w:vMerge w:val="continue"/>
            <w:shd w:val="clear" w:color="auto" w:fill="CCEEFF"/>
          </w:tcPr>
          <w:p>
            <w:pPr>
              <w:spacing w:after="0"/>
              <w:rPr>
                <w:sz w:val="16"/>
                <w:szCs w:val="16"/>
                <w:color w:val="auto"/>
              </w:rPr>
            </w:pPr>
          </w:p>
        </w:tc>
        <w:tc>
          <w:tcPr>
            <w:tcW w:w="660" w:type="dxa"/>
            <w:vAlign w:val="bottom"/>
            <w:tcBorders>
              <w:right w:val="single" w:sz="8" w:color="CCEEFF"/>
            </w:tcBorders>
            <w:gridSpan w:val="2"/>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560" w:type="dxa"/>
            <w:vAlign w:val="bottom"/>
            <w:tcBorders>
              <w:right w:val="single" w:sz="8" w:color="CCEEFF"/>
            </w:tcBorders>
            <w:gridSpan w:val="2"/>
            <w:vMerge w:val="continue"/>
            <w:shd w:val="clear" w:color="auto" w:fill="CCEEFF"/>
          </w:tcPr>
          <w:p>
            <w:pPr>
              <w:spacing w:after="0"/>
              <w:rPr>
                <w:sz w:val="16"/>
                <w:szCs w:val="16"/>
                <w:color w:val="auto"/>
              </w:rPr>
            </w:pPr>
          </w:p>
        </w:tc>
        <w:tc>
          <w:tcPr>
            <w:tcW w:w="200" w:type="dxa"/>
            <w:vAlign w:val="bottom"/>
            <w:tcBorders>
              <w:right w:val="single" w:sz="8" w:color="CCEEFF"/>
            </w:tcBorders>
            <w:vMerge w:val="continue"/>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600" w:type="dxa"/>
            <w:vAlign w:val="bottom"/>
            <w:tcBorders>
              <w:right w:val="single" w:sz="8" w:color="CCEEFF"/>
            </w:tcBorders>
            <w:vMerge w:val="continue"/>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Appropriation to statutory</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reserves</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98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18,161 ​​​</w:t>
            </w: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(18,161​​​)</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ind w:right="13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to non-controlling</w:t>
            </w: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tcBorders>
              <w:left w:val="single" w:sz="8" w:color="CCEEFF"/>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interests</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98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right w:val="single" w:sz="8" w:color="CCEEFF"/>
            </w:tcBorders>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(1,282)​​​ </w:t>
            </w:r>
            <w:r>
              <w:rPr>
                <w:rFonts w:ascii="Times New Roman" w:cs="Times New Roman" w:eastAsia="Times New Roman" w:hAnsi="Times New Roman"/>
                <w:sz w:val="14"/>
                <w:szCs w:val="14"/>
                <w:b w:val="1"/>
                <w:bCs w:val="1"/>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Capital injection from non-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controlling</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980" w:type="dxa"/>
            <w:vAlign w:val="bottom"/>
            <w:gridSpan w:val="3"/>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3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13,577 ​​​ </w:t>
            </w:r>
            <w:r>
              <w:rPr>
                <w:rFonts w:ascii="Times New Roman" w:cs="Times New Roman" w:eastAsia="Times New Roman" w:hAnsi="Times New Roman"/>
                <w:sz w:val="14"/>
                <w:szCs w:val="14"/>
                <w:b w:val="1"/>
                <w:bCs w:val="1"/>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13,577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interests</w:t>
            </w:r>
          </w:p>
        </w:tc>
        <w:tc>
          <w:tcPr>
            <w:tcW w:w="160" w:type="dxa"/>
            <w:vAlign w:val="bottom"/>
            <w:gridSpan w:val="2"/>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340" w:type="dxa"/>
            <w:vAlign w:val="bottom"/>
            <w:gridSpan w:val="4"/>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48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80" w:type="dxa"/>
            <w:vAlign w:val="bottom"/>
            <w:gridSpan w:val="4"/>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 from</w:t>
            </w: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tcBorders>
              <w:left w:val="single" w:sz="8" w:color="CCEEFF"/>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redeemable</w:t>
            </w: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tcBorders>
              <w:left w:val="single" w:sz="8" w:color="CCEEFF"/>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tcBorders>
              <w:left w:val="single" w:sz="8" w:color="CCEEFF"/>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 non-controlling</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tcBorders>
              <w:left w:val="single" w:sz="8" w:color="CCEEFF"/>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interests</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98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right w:val="single" w:sz="8" w:color="CCEEFF"/>
            </w:tcBorders>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50,100 ​​​ </w:t>
            </w:r>
            <w:r>
              <w:rPr>
                <w:rFonts w:ascii="Times New Roman" w:cs="Times New Roman" w:eastAsia="Times New Roman" w:hAnsi="Times New Roman"/>
                <w:sz w:val="14"/>
                <w:szCs w:val="14"/>
                <w:b w:val="1"/>
                <w:bCs w:val="1"/>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Modification of the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liability-classified portion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share awards to</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equity-classified awards</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980" w:type="dxa"/>
            <w:vAlign w:val="bottom"/>
            <w:gridSpan w:val="3"/>
            <w:vMerge w:val="restart"/>
          </w:tcPr>
          <w:p>
            <w:pPr>
              <w:jc w:val="right"/>
              <w:ind w:right="248"/>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3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8,197</w:t>
            </w:r>
          </w:p>
        </w:tc>
        <w:tc>
          <w:tcPr>
            <w:tcW w:w="24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8,197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185"/>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17)</w:t>
            </w:r>
          </w:p>
        </w:tc>
        <w:tc>
          <w:tcPr>
            <w:tcW w:w="160" w:type="dxa"/>
            <w:vAlign w:val="bottom"/>
            <w:gridSpan w:val="2"/>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300" w:type="dxa"/>
            <w:vAlign w:val="bottom"/>
            <w:gridSpan w:val="3"/>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48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740" w:type="dxa"/>
            <w:vAlign w:val="bottom"/>
            <w:vMerge w:val="continue"/>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8"/>
              </w:rPr>
              <w:t>​39,169,393</w:t>
            </w:r>
          </w:p>
        </w:tc>
        <w:tc>
          <w:tcPr>
            <w:tcW w:w="1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27</w:t>
            </w:r>
          </w:p>
        </w:tc>
        <w:tc>
          <w:tcPr>
            <w:tcW w:w="8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8"/>
              </w:rPr>
              <w:t>​65,274,107</w:t>
            </w:r>
          </w:p>
        </w:tc>
        <w:tc>
          <w:tcPr>
            <w:tcW w:w="1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49</w:t>
            </w:r>
          </w:p>
        </w:tc>
        <w:tc>
          <w:tcPr>
            <w:tcW w:w="8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7"/>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​(5,699,608) ​(210,082)</w:t>
            </w:r>
          </w:p>
        </w:tc>
        <w:tc>
          <w:tcPr>
            <w:tcW w:w="500" w:type="dxa"/>
            <w:vAlign w:val="bottom"/>
            <w:tcBorders>
              <w:right w:val="single" w:sz="8" w:color="CCEEFF"/>
            </w:tcBorders>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​90,853</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right w:val="single" w:sz="8" w:color="CCEEFF"/>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​18,437</w:t>
            </w: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​2,752,024</w:t>
            </w:r>
          </w:p>
        </w:tc>
        <w:tc>
          <w:tcPr>
            <w:tcW w:w="120" w:type="dxa"/>
            <w:vAlign w:val="bottom"/>
            <w:tcBorders>
              <w:left w:val="single" w:sz="8" w:color="CCEEFF"/>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620" w:type="dxa"/>
            <w:vAlign w:val="bottom"/>
            <w:tcBorders>
              <w:right w:val="single" w:sz="8" w:color="CCEEFF"/>
            </w:tcBorders>
            <w:gridSpan w:val="3"/>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 2,597</w:t>
            </w: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7"/>
              </w:rPr>
              <w:t>​100,570</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​2,754,475</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06"/>
        </w:trPr>
        <w:tc>
          <w:tcPr>
            <w:tcW w:w="17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right w:val="single" w:sz="8" w:color="CCEEFF"/>
            </w:tcBorders>
            <w:shd w:val="clear" w:color="auto" w:fill="CCEEFF"/>
          </w:tcPr>
          <w:p>
            <w:pPr>
              <w:spacing w:after="0"/>
              <w:rPr>
                <w:sz w:val="9"/>
                <w:szCs w:val="9"/>
                <w:color w:val="auto"/>
              </w:rPr>
            </w:pPr>
          </w:p>
        </w:tc>
        <w:tc>
          <w:tcPr>
            <w:tcW w:w="640" w:type="dxa"/>
            <w:vAlign w:val="bottom"/>
            <w:gridSpan w:val="2"/>
            <w:vMerge w:val="continue"/>
            <w:shd w:val="clear" w:color="auto" w:fill="CCEEFF"/>
          </w:tcPr>
          <w:p>
            <w:pPr>
              <w:spacing w:after="0"/>
              <w:rPr>
                <w:sz w:val="9"/>
                <w:szCs w:val="9"/>
                <w:color w:val="auto"/>
              </w:rPr>
            </w:pPr>
          </w:p>
        </w:tc>
        <w:tc>
          <w:tcPr>
            <w:tcW w:w="160" w:type="dxa"/>
            <w:vAlign w:val="bottom"/>
            <w:gridSpan w:val="2"/>
            <w:vMerge w:val="continue"/>
            <w:shd w:val="clear" w:color="auto" w:fill="CCEEFF"/>
          </w:tcPr>
          <w:p>
            <w:pPr>
              <w:spacing w:after="0"/>
              <w:rPr>
                <w:sz w:val="9"/>
                <w:szCs w:val="9"/>
                <w:color w:val="auto"/>
              </w:rPr>
            </w:pPr>
          </w:p>
        </w:tc>
        <w:tc>
          <w:tcPr>
            <w:tcW w:w="320" w:type="dxa"/>
            <w:vAlign w:val="bottom"/>
            <w:gridSpan w:val="2"/>
            <w:vMerge w:val="continue"/>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640" w:type="dxa"/>
            <w:vAlign w:val="bottom"/>
            <w:gridSpan w:val="2"/>
            <w:vMerge w:val="continue"/>
            <w:shd w:val="clear" w:color="auto" w:fill="CCEEFF"/>
          </w:tcPr>
          <w:p>
            <w:pPr>
              <w:spacing w:after="0"/>
              <w:rPr>
                <w:sz w:val="9"/>
                <w:szCs w:val="9"/>
                <w:color w:val="auto"/>
              </w:rPr>
            </w:pPr>
          </w:p>
        </w:tc>
        <w:tc>
          <w:tcPr>
            <w:tcW w:w="160" w:type="dxa"/>
            <w:vAlign w:val="bottom"/>
            <w:gridSpan w:val="2"/>
            <w:vMerge w:val="continue"/>
            <w:shd w:val="clear" w:color="auto" w:fill="CCEEFF"/>
          </w:tcPr>
          <w:p>
            <w:pPr>
              <w:spacing w:after="0"/>
              <w:rPr>
                <w:sz w:val="9"/>
                <w:szCs w:val="9"/>
                <w:color w:val="auto"/>
              </w:rPr>
            </w:pPr>
          </w:p>
        </w:tc>
        <w:tc>
          <w:tcPr>
            <w:tcW w:w="320" w:type="dxa"/>
            <w:vAlign w:val="bottom"/>
            <w:gridSpan w:val="2"/>
            <w:vMerge w:val="continue"/>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360" w:type="dxa"/>
            <w:vAlign w:val="bottom"/>
            <w:gridSpan w:val="7"/>
            <w:vMerge w:val="continue"/>
            <w:shd w:val="clear" w:color="auto" w:fill="CCEEFF"/>
          </w:tcPr>
          <w:p>
            <w:pPr>
              <w:spacing w:after="0"/>
              <w:rPr>
                <w:sz w:val="9"/>
                <w:szCs w:val="9"/>
                <w:color w:val="auto"/>
              </w:rPr>
            </w:pPr>
          </w:p>
        </w:tc>
        <w:tc>
          <w:tcPr>
            <w:tcW w:w="500" w:type="dxa"/>
            <w:vAlign w:val="bottom"/>
            <w:tcBorders>
              <w:right w:val="single" w:sz="8" w:color="CCEEFF"/>
            </w:tcBorders>
            <w:gridSpan w:val="3"/>
            <w:vMerge w:val="continue"/>
            <w:shd w:val="clear" w:color="auto" w:fill="CCEEFF"/>
          </w:tcPr>
          <w:p>
            <w:pPr>
              <w:spacing w:after="0"/>
              <w:rPr>
                <w:sz w:val="9"/>
                <w:szCs w:val="9"/>
                <w:color w:val="auto"/>
              </w:rPr>
            </w:pPr>
          </w:p>
        </w:tc>
        <w:tc>
          <w:tcPr>
            <w:tcW w:w="120" w:type="dxa"/>
            <w:vAlign w:val="bottom"/>
            <w:tcBorders>
              <w:right w:val="single" w:sz="8" w:color="CCEEFF"/>
            </w:tcBorders>
            <w:vMerge w:val="continue"/>
            <w:shd w:val="clear" w:color="auto" w:fill="CCEEFF"/>
          </w:tcPr>
          <w:p>
            <w:pPr>
              <w:spacing w:after="0"/>
              <w:rPr>
                <w:sz w:val="9"/>
                <w:szCs w:val="9"/>
                <w:color w:val="auto"/>
              </w:rPr>
            </w:pPr>
          </w:p>
        </w:tc>
        <w:tc>
          <w:tcPr>
            <w:tcW w:w="480" w:type="dxa"/>
            <w:vAlign w:val="bottom"/>
            <w:tcBorders>
              <w:right w:val="single" w:sz="8" w:color="CCEEFF"/>
            </w:tcBorders>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vMerge w:val="continue"/>
            <w:shd w:val="clear" w:color="auto" w:fill="CCEEFF"/>
          </w:tcPr>
          <w:p>
            <w:pPr>
              <w:spacing w:after="0"/>
              <w:rPr>
                <w:sz w:val="9"/>
                <w:szCs w:val="9"/>
                <w:color w:val="auto"/>
              </w:rPr>
            </w:pPr>
          </w:p>
        </w:tc>
        <w:tc>
          <w:tcPr>
            <w:tcW w:w="120" w:type="dxa"/>
            <w:vAlign w:val="bottom"/>
            <w:tcBorders>
              <w:left w:val="single" w:sz="8" w:color="CCEEFF"/>
              <w:right w:val="single" w:sz="8" w:color="CCEEFF"/>
            </w:tcBorders>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tcBorders>
              <w:right w:val="single" w:sz="8" w:color="CCEEFF"/>
            </w:tcBorders>
            <w:gridSpan w:val="3"/>
            <w:vMerge w:val="continue"/>
            <w:shd w:val="clear" w:color="auto" w:fill="CCEEFF"/>
          </w:tcPr>
          <w:p>
            <w:pPr>
              <w:spacing w:after="0"/>
              <w:rPr>
                <w:sz w:val="9"/>
                <w:szCs w:val="9"/>
                <w:color w:val="auto"/>
              </w:rPr>
            </w:pPr>
          </w:p>
        </w:tc>
        <w:tc>
          <w:tcPr>
            <w:tcW w:w="200" w:type="dxa"/>
            <w:vAlign w:val="bottom"/>
            <w:tcBorders>
              <w:right w:val="single" w:sz="8" w:color="CCEEFF"/>
            </w:tcBorders>
            <w:vMerge w:val="continue"/>
            <w:shd w:val="clear" w:color="auto" w:fill="CCEEFF"/>
          </w:tcPr>
          <w:p>
            <w:pPr>
              <w:spacing w:after="0"/>
              <w:rPr>
                <w:sz w:val="9"/>
                <w:szCs w:val="9"/>
                <w:color w:val="auto"/>
              </w:rPr>
            </w:pPr>
          </w:p>
        </w:tc>
        <w:tc>
          <w:tcPr>
            <w:tcW w:w="480" w:type="dxa"/>
            <w:vAlign w:val="bottom"/>
            <w:tcBorders>
              <w:right w:val="single" w:sz="8" w:color="CCEEFF"/>
            </w:tcBorders>
            <w:vMerge w:val="continue"/>
            <w:shd w:val="clear" w:color="auto" w:fill="CCEEFF"/>
          </w:tcPr>
          <w:p>
            <w:pPr>
              <w:spacing w:after="0"/>
              <w:rPr>
                <w:sz w:val="9"/>
                <w:szCs w:val="9"/>
                <w:color w:val="auto"/>
              </w:rPr>
            </w:pPr>
          </w:p>
        </w:tc>
        <w:tc>
          <w:tcPr>
            <w:tcW w:w="120" w:type="dxa"/>
            <w:vAlign w:val="bottom"/>
            <w:tcBorders>
              <w:right w:val="single" w:sz="8" w:color="CCEEFF"/>
            </w:tcBorders>
            <w:vMerge w:val="continue"/>
            <w:shd w:val="clear" w:color="auto" w:fill="CCEEFF"/>
          </w:tcPr>
          <w:p>
            <w:pPr>
              <w:spacing w:after="0"/>
              <w:rPr>
                <w:sz w:val="9"/>
                <w:szCs w:val="9"/>
                <w:color w:val="auto"/>
              </w:rPr>
            </w:pPr>
          </w:p>
        </w:tc>
        <w:tc>
          <w:tcPr>
            <w:tcW w:w="680" w:type="dxa"/>
            <w:vAlign w:val="bottom"/>
            <w:tcBorders>
              <w:right w:val="single" w:sz="8" w:color="CCEEFF"/>
            </w:tcBorders>
            <w:gridSpan w:val="2"/>
            <w:vMerge w:val="continue"/>
            <w:shd w:val="clear" w:color="auto" w:fill="CCEEFF"/>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740" w:type="dxa"/>
            <w:vAlign w:val="bottom"/>
            <w:vMerge w:val="continue"/>
            <w:shd w:val="clear" w:color="auto" w:fill="CCEEFF"/>
          </w:tcPr>
          <w:p>
            <w:pPr>
              <w:spacing w:after="0"/>
              <w:rPr>
                <w:sz w:val="7"/>
                <w:szCs w:val="7"/>
                <w:color w:val="auto"/>
              </w:rPr>
            </w:pPr>
          </w:p>
        </w:tc>
        <w:tc>
          <w:tcPr>
            <w:tcW w:w="160" w:type="dxa"/>
            <w:vAlign w:val="bottom"/>
            <w:gridSpan w:val="2"/>
            <w:shd w:val="clear" w:color="auto" w:fill="CCEEFF"/>
          </w:tcPr>
          <w:p>
            <w:pPr>
              <w:ind w:left="20"/>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560" w:type="dxa"/>
            <w:vAlign w:val="bottom"/>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560" w:type="dxa"/>
            <w:vAlign w:val="bottom"/>
            <w:shd w:val="clear" w:color="auto" w:fill="CCEEFF"/>
          </w:tcPr>
          <w:p>
            <w:pPr>
              <w:spacing w:after="0"/>
              <w:rPr>
                <w:sz w:val="7"/>
                <w:szCs w:val="7"/>
                <w:color w:val="auto"/>
              </w:rPr>
            </w:pPr>
          </w:p>
        </w:tc>
        <w:tc>
          <w:tcPr>
            <w:tcW w:w="16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56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248"/>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160" w:type="dxa"/>
            <w:vAlign w:val="bottom"/>
            <w:shd w:val="clear" w:color="auto" w:fill="CCEEFF"/>
          </w:tcPr>
          <w:p>
            <w:pPr>
              <w:spacing w:after="0"/>
              <w:rPr>
                <w:sz w:val="7"/>
                <w:szCs w:val="7"/>
                <w:color w:val="auto"/>
              </w:rPr>
            </w:pPr>
          </w:p>
        </w:tc>
        <w:tc>
          <w:tcPr>
            <w:tcW w:w="140" w:type="dxa"/>
            <w:vAlign w:val="bottom"/>
            <w:gridSpan w:val="2"/>
            <w:shd w:val="clear" w:color="auto" w:fill="CCEEFF"/>
          </w:tcPr>
          <w:p>
            <w:pPr>
              <w:jc w:val="right"/>
              <w:ind w:right="60"/>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120" w:type="dxa"/>
            <w:vAlign w:val="bottom"/>
            <w:tcBorders>
              <w:right w:val="single" w:sz="8" w:color="CCEEFF"/>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tcBorders>
              <w:right w:val="single" w:sz="8" w:color="CCEEFF"/>
            </w:tcBorders>
            <w:shd w:val="clear" w:color="auto" w:fill="CCEEFF"/>
          </w:tcPr>
          <w:p>
            <w:pPr>
              <w:spacing w:after="0"/>
              <w:rPr>
                <w:sz w:val="7"/>
                <w:szCs w:val="7"/>
                <w:color w:val="auto"/>
              </w:rPr>
            </w:pPr>
          </w:p>
        </w:tc>
        <w:tc>
          <w:tcPr>
            <w:tcW w:w="12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540" w:type="dxa"/>
            <w:vAlign w:val="bottom"/>
            <w:shd w:val="clear" w:color="auto" w:fill="CCEEFF"/>
          </w:tcPr>
          <w:p>
            <w:pPr>
              <w:spacing w:after="0"/>
              <w:rPr>
                <w:sz w:val="7"/>
                <w:szCs w:val="7"/>
                <w:color w:val="auto"/>
              </w:rPr>
            </w:pPr>
          </w:p>
        </w:tc>
        <w:tc>
          <w:tcPr>
            <w:tcW w:w="120" w:type="dxa"/>
            <w:vAlign w:val="bottom"/>
            <w:tcBorders>
              <w:left w:val="single" w:sz="8" w:color="CCEEFF"/>
              <w:right w:val="single" w:sz="8" w:color="CCEEFF"/>
            </w:tcBorders>
            <w:vMerge w:val="continue"/>
            <w:shd w:val="clear" w:color="auto" w:fill="CCEEFF"/>
          </w:tcPr>
          <w:p>
            <w:pPr>
              <w:spacing w:after="0"/>
              <w:rPr>
                <w:sz w:val="7"/>
                <w:szCs w:val="7"/>
                <w:color w:val="auto"/>
              </w:rPr>
            </w:pPr>
          </w:p>
        </w:tc>
        <w:tc>
          <w:tcPr>
            <w:tcW w:w="220" w:type="dxa"/>
            <w:vAlign w:val="bottom"/>
            <w:gridSpan w:val="2"/>
            <w:shd w:val="clear" w:color="auto" w:fill="CCEEFF"/>
          </w:tcPr>
          <w:p>
            <w:pPr>
              <w:ind w:left="160"/>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3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200" w:type="dxa"/>
            <w:vAlign w:val="bottom"/>
            <w:tcBorders>
              <w:right w:val="single" w:sz="8" w:color="CCEEFF"/>
            </w:tcBorders>
            <w:vMerge w:val="continue"/>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120" w:type="dxa"/>
            <w:vAlign w:val="bottom"/>
            <w:tcBorders>
              <w:right w:val="single" w:sz="8" w:color="CCEEFF"/>
            </w:tcBorders>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tcBorders>
              <w:right w:val="single" w:sz="8" w:color="CCEEFF"/>
            </w:tcBorders>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740" w:type="dxa"/>
            <w:vAlign w:val="bottom"/>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80" w:type="dxa"/>
            <w:vAlign w:val="bottom"/>
          </w:tcPr>
          <w:p>
            <w:pPr>
              <w:spacing w:after="0"/>
              <w:rPr>
                <w:sz w:val="12"/>
                <w:szCs w:val="12"/>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 xml:space="preserve">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4</w:t>
            </w:r>
          </w:p>
        </w:tc>
        <w:tc>
          <w:tcPr>
            <w:tcW w:w="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 xml:space="preserve">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7</w:t>
            </w:r>
          </w:p>
        </w:tc>
        <w:tc>
          <w:tcPr>
            <w:tcW w:w="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 xml:space="preserve">         </w:t>
            </w:r>
          </w:p>
        </w:tc>
        <w:tc>
          <w:tcPr>
            <w:tcW w:w="60" w:type="dxa"/>
            <w:vAlign w:val="bottom"/>
          </w:tcPr>
          <w:p>
            <w:pPr>
              <w:spacing w:after="0"/>
              <w:rPr>
                <w:sz w:val="12"/>
                <w:szCs w:val="12"/>
                <w:color w:val="auto"/>
              </w:rPr>
            </w:pPr>
          </w:p>
        </w:tc>
        <w:tc>
          <w:tcPr>
            <w:tcW w:w="66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(28,781)</w:t>
            </w:r>
          </w:p>
        </w:tc>
        <w:tc>
          <w:tcPr>
            <w:tcW w:w="5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​12,447</w:t>
            </w:r>
          </w:p>
        </w:tc>
        <w:tc>
          <w:tcPr>
            <w:tcW w:w="120" w:type="dxa"/>
            <w:vAlign w:val="bottom"/>
          </w:tcPr>
          <w:p>
            <w:pPr>
              <w:spacing w:after="0"/>
              <w:rPr>
                <w:sz w:val="12"/>
                <w:szCs w:val="12"/>
                <w:color w:val="auto"/>
              </w:rPr>
            </w:pPr>
          </w:p>
        </w:tc>
        <w:tc>
          <w:tcPr>
            <w:tcW w:w="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2,526</w:t>
            </w:r>
          </w:p>
        </w:tc>
        <w:tc>
          <w:tcPr>
            <w:tcW w:w="80" w:type="dxa"/>
            <w:vAlign w:val="bottom"/>
          </w:tcPr>
          <w:p>
            <w:pPr>
              <w:spacing w:after="0"/>
              <w:rPr>
                <w:sz w:val="12"/>
                <w:szCs w:val="1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377,026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356</w:t>
            </w:r>
          </w:p>
        </w:tc>
        <w:tc>
          <w:tcPr>
            <w:tcW w:w="2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 13,778</w:t>
            </w:r>
          </w:p>
        </w:tc>
        <w:tc>
          <w:tcPr>
            <w:tcW w:w="12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377,363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7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2024 – US$(Note 2(f))</w:t>
            </w:r>
          </w:p>
        </w:tc>
        <w:tc>
          <w:tcPr>
            <w:tcW w:w="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4"/>
            <w:vMerge w:val="continue"/>
          </w:tcPr>
          <w:p>
            <w:pPr>
              <w:spacing w:after="0"/>
              <w:rPr>
                <w:sz w:val="10"/>
                <w:szCs w:val="10"/>
                <w:color w:val="auto"/>
              </w:rPr>
            </w:pPr>
          </w:p>
        </w:tc>
        <w:tc>
          <w:tcPr>
            <w:tcW w:w="5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1"/>
        </w:trPr>
        <w:tc>
          <w:tcPr>
            <w:tcW w:w="1740" w:type="dxa"/>
            <w:vAlign w:val="bottom"/>
            <w:vMerge w:val="continue"/>
          </w:tcPr>
          <w:p>
            <w:pPr>
              <w:spacing w:after="0"/>
              <w:rPr>
                <w:sz w:val="7"/>
                <w:szCs w:val="7"/>
                <w:color w:val="auto"/>
              </w:rPr>
            </w:pPr>
          </w:p>
        </w:tc>
        <w:tc>
          <w:tcPr>
            <w:tcW w:w="160" w:type="dxa"/>
            <w:vAlign w:val="bottom"/>
            <w:gridSpan w:val="2"/>
          </w:tcPr>
          <w:p>
            <w:pPr>
              <w:ind w:left="20"/>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560" w:type="dxa"/>
            <w:vAlign w:val="bottom"/>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32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16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560" w:type="dxa"/>
            <w:vAlign w:val="bottom"/>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32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16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560" w:type="dxa"/>
            <w:vAlign w:val="bottom"/>
          </w:tcPr>
          <w:p>
            <w:pPr>
              <w:spacing w:after="0"/>
              <w:rPr>
                <w:sz w:val="7"/>
                <w:szCs w:val="7"/>
                <w:color w:val="auto"/>
              </w:rPr>
            </w:pPr>
          </w:p>
        </w:tc>
        <w:tc>
          <w:tcPr>
            <w:tcW w:w="420" w:type="dxa"/>
            <w:vAlign w:val="bottom"/>
            <w:gridSpan w:val="2"/>
          </w:tcPr>
          <w:p>
            <w:pPr>
              <w:jc w:val="right"/>
              <w:ind w:right="248"/>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160" w:type="dxa"/>
            <w:vAlign w:val="bottom"/>
          </w:tcPr>
          <w:p>
            <w:pPr>
              <w:spacing w:after="0"/>
              <w:rPr>
                <w:sz w:val="7"/>
                <w:szCs w:val="7"/>
                <w:color w:val="auto"/>
              </w:rPr>
            </w:pPr>
          </w:p>
        </w:tc>
        <w:tc>
          <w:tcPr>
            <w:tcW w:w="140" w:type="dxa"/>
            <w:vAlign w:val="bottom"/>
            <w:gridSpan w:val="2"/>
          </w:tcPr>
          <w:p>
            <w:pPr>
              <w:jc w:val="right"/>
              <w:ind w:right="60"/>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gridSpan w:val="2"/>
          </w:tcPr>
          <w:p>
            <w:pPr>
              <w:jc w:val="right"/>
              <w:ind w:right="11"/>
              <w:spacing w:after="0" w:line="81" w:lineRule="exact"/>
              <w:rPr>
                <w:sz w:val="20"/>
                <w:szCs w:val="20"/>
                <w:color w:val="auto"/>
              </w:rPr>
            </w:pPr>
            <w:r>
              <w:rPr>
                <w:rFonts w:ascii="Times New Roman" w:cs="Times New Roman" w:eastAsia="Times New Roman" w:hAnsi="Times New Roman"/>
                <w:sz w:val="9"/>
                <w:szCs w:val="9"/>
                <w:b w:val="1"/>
                <w:bCs w:val="1"/>
                <w:color w:val="auto"/>
              </w:rPr>
              <w:t>​​​ ​</w:t>
            </w:r>
          </w:p>
        </w:tc>
        <w:tc>
          <w:tcPr>
            <w:tcW w:w="360" w:type="dxa"/>
            <w:vAlign w:val="bottom"/>
          </w:tcPr>
          <w:p>
            <w:pPr>
              <w:spacing w:after="0"/>
              <w:rPr>
                <w:sz w:val="7"/>
                <w:szCs w:val="7"/>
                <w:color w:val="auto"/>
              </w:rPr>
            </w:pPr>
          </w:p>
        </w:tc>
        <w:tc>
          <w:tcPr>
            <w:tcW w:w="12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5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220" w:type="dxa"/>
            <w:vAlign w:val="bottom"/>
            <w:gridSpan w:val="2"/>
          </w:tcPr>
          <w:p>
            <w:pPr>
              <w:ind w:left="160"/>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line="81" w:lineRule="exact"/>
              <w:rPr>
                <w:sz w:val="20"/>
                <w:szCs w:val="20"/>
                <w:color w:val="auto"/>
              </w:rPr>
            </w:pPr>
            <w:r>
              <w:rPr>
                <w:rFonts w:ascii="Times New Roman" w:cs="Times New Roman" w:eastAsia="Times New Roman" w:hAnsi="Times New Roman"/>
                <w:sz w:val="9"/>
                <w:szCs w:val="9"/>
                <w:b w:val="1"/>
                <w:bCs w:val="1"/>
                <w:color w:val="auto"/>
              </w:rPr>
              <w:t>​​​ ​</w:t>
            </w:r>
          </w:p>
        </w:tc>
        <w:tc>
          <w:tcPr>
            <w:tcW w:w="480" w:type="dxa"/>
            <w:vAlign w:val="bottom"/>
          </w:tcPr>
          <w:p>
            <w:pPr>
              <w:spacing w:after="0"/>
              <w:rPr>
                <w:sz w:val="7"/>
                <w:szCs w:val="7"/>
                <w:color w:val="auto"/>
              </w:rPr>
            </w:pPr>
          </w:p>
        </w:tc>
        <w:tc>
          <w:tcPr>
            <w:tcW w:w="20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 ​</w:t>
            </w:r>
          </w:p>
        </w:tc>
        <w:tc>
          <w:tcPr>
            <w:tcW w:w="60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-487680</wp:posOffset>
            </wp:positionV>
            <wp:extent cx="431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-487680</wp:posOffset>
            </wp:positionV>
            <wp:extent cx="12890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-487680</wp:posOffset>
            </wp:positionV>
            <wp:extent cx="21463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-487680</wp:posOffset>
            </wp:positionV>
            <wp:extent cx="17145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-487680</wp:posOffset>
            </wp:positionV>
            <wp:extent cx="10287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-487680</wp:posOffset>
            </wp:positionV>
            <wp:extent cx="13716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3774440</wp:posOffset>
            </wp:positionH>
            <wp:positionV relativeFrom="paragraph">
              <wp:posOffset>-487680</wp:posOffset>
            </wp:positionV>
            <wp:extent cx="8572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-487680</wp:posOffset>
            </wp:positionV>
            <wp:extent cx="431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-487680</wp:posOffset>
            </wp:positionV>
            <wp:extent cx="11112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-487680</wp:posOffset>
            </wp:positionV>
            <wp:extent cx="10287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2120265</wp:posOffset>
            </wp:positionH>
            <wp:positionV relativeFrom="paragraph">
              <wp:posOffset>-487680</wp:posOffset>
            </wp:positionV>
            <wp:extent cx="11112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-487680</wp:posOffset>
            </wp:positionV>
            <wp:extent cx="167132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9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223" w:name="page224"/>
    <w:bookmarkEnd w:id="2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or otherwise noted)</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00"/>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Pr>
          <w:p>
            <w:pPr>
              <w:spacing w:after="0"/>
              <w:rPr>
                <w:sz w:val="17"/>
                <w:szCs w:val="17"/>
                <w:color w:val="auto"/>
              </w:rPr>
            </w:pPr>
          </w:p>
        </w:tc>
        <w:tc>
          <w:tcPr>
            <w:tcW w:w="224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5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6"/>
        </w:trPr>
        <w:tc>
          <w:tcPr>
            <w:tcW w:w="46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5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jc w:val="right"/>
              <w:ind w:right="18"/>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4"/>
        </w:trPr>
        <w:tc>
          <w:tcPr>
            <w:tcW w:w="4640" w:type="dxa"/>
            <w:vAlign w:val="bottom"/>
          </w:tcPr>
          <w:p>
            <w:pPr>
              <w:spacing w:after="0"/>
              <w:rPr>
                <w:sz w:val="12"/>
                <w:szCs w:val="12"/>
                <w:color w:val="auto"/>
              </w:rPr>
            </w:pPr>
          </w:p>
        </w:tc>
        <w:tc>
          <w:tcPr>
            <w:tcW w:w="22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300" w:type="dxa"/>
            <w:vAlign w:val="bottom"/>
          </w:tcPr>
          <w:p>
            <w:pPr>
              <w:jc w:val="right"/>
              <w:ind w:right="18"/>
              <w:spacing w:after="0" w:line="145" w:lineRule="exact"/>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Borders>
              <w:top w:val="single" w:sz="8" w:color="auto"/>
            </w:tcBorders>
          </w:tcPr>
          <w:p>
            <w:pPr>
              <w:jc w:val="center"/>
              <w:ind w:left="31"/>
              <w:spacing w:after="0" w:line="145"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80" w:type="dxa"/>
            <w:vAlign w:val="bottom"/>
            <w:tcBorders>
              <w:top w:val="single" w:sz="8" w:color="auto"/>
            </w:tcBorders>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RMB    ​ ​</w:t>
            </w:r>
          </w:p>
        </w:tc>
        <w:tc>
          <w:tcPr>
            <w:tcW w:w="520" w:type="dxa"/>
            <w:vAlign w:val="bottom"/>
            <w:tcBorders>
              <w:top w:val="single" w:sz="8" w:color="auto"/>
            </w:tcBorders>
          </w:tcPr>
          <w:p>
            <w:pPr>
              <w:jc w:val="right"/>
              <w:ind w:right="91"/>
              <w:spacing w:after="0" w:line="145"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1"/>
        </w:trPr>
        <w:tc>
          <w:tcPr>
            <w:tcW w:w="464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4"/>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(Note 2(f))</w:t>
            </w:r>
          </w:p>
        </w:tc>
        <w:tc>
          <w:tcPr>
            <w:tcW w:w="0" w:type="dxa"/>
            <w:vAlign w:val="bottom"/>
          </w:tcPr>
          <w:p>
            <w:pPr>
              <w:spacing w:after="0"/>
              <w:rPr>
                <w:sz w:val="1"/>
                <w:szCs w:val="1"/>
                <w:color w:val="auto"/>
              </w:rPr>
            </w:pPr>
          </w:p>
        </w:tc>
      </w:tr>
      <w:tr>
        <w:trPr>
          <w:trHeight w:val="211"/>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 ​</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2"/>
        </w:trPr>
        <w:tc>
          <w:tcPr>
            <w:tcW w:w="4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(loss)/income</w:t>
            </w:r>
          </w:p>
        </w:tc>
        <w:tc>
          <w:tcPr>
            <w:tcW w:w="1080" w:type="dxa"/>
            <w:vAlign w:val="bottom"/>
            <w:gridSpan w:val="4"/>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(90,716​​) ​</w:t>
            </w:r>
            <w:r>
              <w:rPr>
                <w:rFonts w:ascii="Times New Roman" w:cs="Times New Roman" w:eastAsia="Times New Roman" w:hAnsi="Times New Roman"/>
                <w:sz w:val="18"/>
                <w:szCs w:val="18"/>
                <w:b w:val="1"/>
                <w:bCs w:val="1"/>
                <w:color w:val="auto"/>
              </w:rPr>
              <w:t>​</w:t>
            </w:r>
          </w:p>
        </w:tc>
        <w:tc>
          <w:tcPr>
            <w:tcW w:w="2540" w:type="dxa"/>
            <w:vAlign w:val="bottom"/>
            <w:gridSpan w:val="9"/>
          </w:tcPr>
          <w:p>
            <w:pPr>
              <w:jc w:val="right"/>
              <w:spacing w:after="0" w:line="202" w:lineRule="exact"/>
              <w:rPr>
                <w:sz w:val="20"/>
                <w:szCs w:val="20"/>
                <w:color w:val="auto"/>
              </w:rPr>
            </w:pPr>
            <w:r>
              <w:rPr>
                <w:rFonts w:ascii="Times New Roman" w:cs="Times New Roman" w:eastAsia="Times New Roman" w:hAnsi="Times New Roman"/>
                <w:sz w:val="18"/>
                <w:szCs w:val="18"/>
                <w:color w:val="auto"/>
              </w:rPr>
              <w:t>802,566​​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2,514,591​​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344,498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4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(loss)/income to net cash</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46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Fair value change of forward contract related to Series B+</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shares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105,483​​ ​</w:t>
            </w: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4,907​​ ​</w:t>
            </w:r>
            <w:r>
              <w:rPr>
                <w:rFonts w:ascii="Times New Roman" w:cs="Times New Roman" w:eastAsia="Times New Roman" w:hAnsi="Times New Roman"/>
                <w:sz w:val="18"/>
                <w:szCs w:val="18"/>
                <w:b w:val="1"/>
                <w:bCs w:val="1"/>
                <w:color w:val="auto"/>
              </w:rPr>
              <w:t>​</w:t>
            </w:r>
          </w:p>
        </w:tc>
        <w:tc>
          <w:tcPr>
            <w:tcW w:w="980" w:type="dxa"/>
            <w:vAlign w:val="bottom"/>
            <w:gridSpan w:val="4"/>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10,370​​ ​</w:t>
            </w:r>
            <w:r>
              <w:rPr>
                <w:rFonts w:ascii="Times New Roman" w:cs="Times New Roman" w:eastAsia="Times New Roman" w:hAnsi="Times New Roman"/>
                <w:sz w:val="18"/>
                <w:szCs w:val="18"/>
                <w:b w:val="1"/>
                <w:bCs w:val="1"/>
                <w:color w:val="auto"/>
              </w:rPr>
              <w:t>​</w:t>
            </w:r>
          </w:p>
        </w:tc>
        <w:tc>
          <w:tcPr>
            <w:tcW w:w="960" w:type="dxa"/>
            <w:vAlign w:val="bottom"/>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 xml:space="preserve">60,904​​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8,344</w:t>
            </w:r>
          </w:p>
        </w:tc>
        <w:tc>
          <w:tcPr>
            <w:tcW w:w="80" w:type="dxa"/>
            <w:vAlign w:val="bottom"/>
            <w:tcBorders>
              <w:left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3,944​​ ​</w:t>
            </w:r>
            <w:r>
              <w:rPr>
                <w:rFonts w:ascii="Times New Roman" w:cs="Times New Roman" w:eastAsia="Times New Roman" w:hAnsi="Times New Roman"/>
                <w:sz w:val="18"/>
                <w:szCs w:val="18"/>
                <w:b w:val="1"/>
                <w:bCs w:val="1"/>
                <w:color w:val="auto"/>
              </w:rPr>
              <w:t>​</w:t>
            </w: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10,516​​ ​</w:t>
            </w: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603​​ ​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provisions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r>
              <w:rPr>
                <w:rFonts w:ascii="Times New Roman" w:cs="Times New Roman" w:eastAsia="Times New Roman" w:hAnsi="Times New Roman"/>
                <w:sz w:val="18"/>
                <w:szCs w:val="18"/>
                <w:b w:val="1"/>
                <w:bCs w:val="1"/>
                <w:color w:val="auto"/>
              </w:rPr>
              <w:t>​</w:t>
            </w: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869​​ ​</w:t>
            </w:r>
            <w:r>
              <w:rPr>
                <w:rFonts w:ascii="Times New Roman" w:cs="Times New Roman" w:eastAsia="Times New Roman" w:hAnsi="Times New Roman"/>
                <w:sz w:val="18"/>
                <w:szCs w:val="18"/>
                <w:b w:val="1"/>
                <w:bCs w:val="1"/>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143​​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(21,708​​) ​</w:t>
            </w:r>
            <w:r>
              <w:rPr>
                <w:rFonts w:ascii="Times New Roman" w:cs="Times New Roman" w:eastAsia="Times New Roman" w:hAnsi="Times New Roman"/>
                <w:sz w:val="18"/>
                <w:szCs w:val="18"/>
                <w:b w:val="1"/>
                <w:bCs w:val="1"/>
                <w:color w:val="auto"/>
              </w:rPr>
              <w:t>​</w:t>
            </w:r>
          </w:p>
        </w:tc>
        <w:tc>
          <w:tcPr>
            <w:tcW w:w="25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(95,772​​)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(126,873​​)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(17,382)</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Loss/(gains) on disposal of property and equipment</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 ​</w:t>
            </w:r>
            <w:r>
              <w:rPr>
                <w:rFonts w:ascii="Times New Roman" w:cs="Times New Roman" w:eastAsia="Times New Roman" w:hAnsi="Times New Roman"/>
                <w:sz w:val="18"/>
                <w:szCs w:val="18"/>
                <w:b w:val="1"/>
                <w:bCs w:val="1"/>
                <w:color w:val="auto"/>
              </w:rPr>
              <w:t>​</w:t>
            </w: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865​​ ​</w:t>
            </w:r>
            <w:r>
              <w:rPr>
                <w:rFonts w:ascii="Times New Roman" w:cs="Times New Roman" w:eastAsia="Times New Roman" w:hAnsi="Times New Roman"/>
                <w:sz w:val="18"/>
                <w:szCs w:val="18"/>
                <w:b w:val="1"/>
                <w:bCs w:val="1"/>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(312​​)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 ​</w:t>
            </w:r>
            <w:r>
              <w:rPr>
                <w:rFonts w:ascii="Times New Roman" w:cs="Times New Roman" w:eastAsia="Times New Roman" w:hAnsi="Times New Roman"/>
                <w:sz w:val="18"/>
                <w:szCs w:val="18"/>
                <w:b w:val="1"/>
                <w:bCs w:val="1"/>
                <w:color w:val="auto"/>
              </w:rPr>
              <w:t>​</w:t>
            </w: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4,101​​ ​</w:t>
            </w: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6,958​​ ​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disposal of investments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 ​</w:t>
            </w:r>
            <w:r>
              <w:rPr>
                <w:rFonts w:ascii="Times New Roman" w:cs="Times New Roman" w:eastAsia="Times New Roman" w:hAnsi="Times New Roman"/>
                <w:sz w:val="18"/>
                <w:szCs w:val="18"/>
                <w:b w:val="1"/>
                <w:bCs w:val="1"/>
                <w:color w:val="auto"/>
              </w:rPr>
              <w:t>​</w:t>
            </w: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b w:val="1"/>
                <w:bCs w:val="1"/>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changes of short-term investments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(944​​) ​</w:t>
            </w: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exchange (gains)/loss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 ​</w:t>
            </w:r>
            <w:r>
              <w:rPr>
                <w:rFonts w:ascii="Times New Roman" w:cs="Times New Roman" w:eastAsia="Times New Roman" w:hAnsi="Times New Roman"/>
                <w:sz w:val="18"/>
                <w:szCs w:val="18"/>
                <w:b w:val="1"/>
                <w:bCs w:val="1"/>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5​​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from equity method investments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(403​​) ​ </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7"/>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Changes in operating assets and liabilities, net of effects from</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business combination</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 ​</w:t>
            </w:r>
          </w:p>
        </w:tc>
        <w:tc>
          <w:tcPr>
            <w:tcW w:w="5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(5,068​​) ​</w:t>
            </w:r>
            <w:r>
              <w:rPr>
                <w:rFonts w:ascii="Times New Roman" w:cs="Times New Roman" w:eastAsia="Times New Roman" w:hAnsi="Times New Roman"/>
                <w:sz w:val="18"/>
                <w:szCs w:val="18"/>
                <w:b w:val="1"/>
                <w:bCs w:val="1"/>
                <w:color w:val="auto"/>
              </w:rPr>
              <w:t>​</w:t>
            </w: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(75,561​​) ​</w:t>
            </w: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(31,290​​) ​ </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(4,287)</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 ​</w:t>
            </w:r>
            <w:r>
              <w:rPr>
                <w:rFonts w:ascii="Times New Roman" w:cs="Times New Roman" w:eastAsia="Times New Roman" w:hAnsi="Times New Roman"/>
                <w:sz w:val="18"/>
                <w:szCs w:val="18"/>
                <w:b w:val="1"/>
                <w:bCs w:val="1"/>
                <w:color w:val="auto"/>
              </w:rPr>
              <w:t>​</w:t>
            </w: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(9,176​​) ​</w:t>
            </w:r>
            <w:r>
              <w:rPr>
                <w:rFonts w:ascii="Times New Roman" w:cs="Times New Roman" w:eastAsia="Times New Roman" w:hAnsi="Times New Roman"/>
                <w:sz w:val="18"/>
                <w:szCs w:val="18"/>
                <w:b w:val="1"/>
                <w:bCs w:val="1"/>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(69,422​​)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(9,511)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(3,479​​) ​</w:t>
            </w:r>
            <w:r>
              <w:rPr>
                <w:rFonts w:ascii="Times New Roman" w:cs="Times New Roman" w:eastAsia="Times New Roman" w:hAnsi="Times New Roman"/>
                <w:sz w:val="18"/>
                <w:szCs w:val="18"/>
                <w:b w:val="1"/>
                <w:bCs w:val="1"/>
                <w:color w:val="auto"/>
              </w:rPr>
              <w:t>​</w:t>
            </w:r>
          </w:p>
        </w:tc>
        <w:tc>
          <w:tcPr>
            <w:tcW w:w="25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(55,427​​)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(213,999​​)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(29,319)</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due from related parties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b w:val="1"/>
                <w:bCs w:val="1"/>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(1,547​​)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(10,107​​) ​</w:t>
            </w:r>
            <w:r>
              <w:rPr>
                <w:rFonts w:ascii="Times New Roman" w:cs="Times New Roman" w:eastAsia="Times New Roman" w:hAnsi="Times New Roman"/>
                <w:sz w:val="18"/>
                <w:szCs w:val="18"/>
                <w:b w:val="1"/>
                <w:bCs w:val="1"/>
                <w:color w:val="auto"/>
              </w:rPr>
              <w:t>​</w:t>
            </w:r>
          </w:p>
        </w:tc>
        <w:tc>
          <w:tcPr>
            <w:tcW w:w="25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(47,573​​)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(427,979​​)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(58,633)</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 ​</w:t>
            </w:r>
            <w:r>
              <w:rPr>
                <w:rFonts w:ascii="Times New Roman" w:cs="Times New Roman" w:eastAsia="Times New Roman" w:hAnsi="Times New Roman"/>
                <w:sz w:val="18"/>
                <w:szCs w:val="18"/>
                <w:b w:val="1"/>
                <w:bCs w:val="1"/>
                <w:color w:val="auto"/>
              </w:rPr>
              <w:t>​</w:t>
            </w: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(9,800​​) ​</w:t>
            </w:r>
            <w:r>
              <w:rPr>
                <w:rFonts w:ascii="Times New Roman" w:cs="Times New Roman" w:eastAsia="Times New Roman" w:hAnsi="Times New Roman"/>
                <w:sz w:val="18"/>
                <w:szCs w:val="18"/>
                <w:b w:val="1"/>
                <w:bCs w:val="1"/>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(59,424​​)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(8,141)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31,860​​ ​</w:t>
            </w:r>
            <w:r>
              <w:rPr>
                <w:rFonts w:ascii="Times New Roman" w:cs="Times New Roman" w:eastAsia="Times New Roman" w:hAnsi="Times New Roman"/>
                <w:sz w:val="18"/>
                <w:szCs w:val="18"/>
                <w:b w:val="1"/>
                <w:bCs w:val="1"/>
                <w:color w:val="auto"/>
              </w:rPr>
              <w:t>​</w:t>
            </w: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384,016​​ ​</w:t>
            </w: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127,801​​ ​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17,509</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080" w:type="dxa"/>
            <w:vAlign w:val="bottom"/>
            <w:tcBorders>
              <w:right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40,271​​ ​</w:t>
            </w:r>
            <w:r>
              <w:rPr>
                <w:rFonts w:ascii="Times New Roman" w:cs="Times New Roman" w:eastAsia="Times New Roman" w:hAnsi="Times New Roman"/>
                <w:sz w:val="18"/>
                <w:szCs w:val="18"/>
                <w:b w:val="1"/>
                <w:bCs w:val="1"/>
                <w:color w:val="auto"/>
              </w:rPr>
              <w:t>​</w:t>
            </w: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295,386​​ ​</w:t>
            </w:r>
            <w:r>
              <w:rPr>
                <w:rFonts w:ascii="Times New Roman" w:cs="Times New Roman" w:eastAsia="Times New Roman" w:hAnsi="Times New Roman"/>
                <w:sz w:val="18"/>
                <w:szCs w:val="18"/>
                <w:b w:val="1"/>
                <w:bCs w:val="1"/>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175,503​​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24,044</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8,245​​ ​</w:t>
            </w:r>
            <w:r>
              <w:rPr>
                <w:rFonts w:ascii="Times New Roman" w:cs="Times New Roman" w:eastAsia="Times New Roman" w:hAnsi="Times New Roman"/>
                <w:sz w:val="18"/>
                <w:szCs w:val="18"/>
                <w:b w:val="1"/>
                <w:bCs w:val="1"/>
                <w:color w:val="auto"/>
              </w:rPr>
              <w:t>​</w:t>
            </w: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231,412​​ ​</w:t>
            </w: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(63,495​​) ​ </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(8,699)</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80" w:type="dxa"/>
            <w:vAlign w:val="bottom"/>
            <w:tcBorders>
              <w:right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10,133​​ ​</w:t>
            </w:r>
            <w:r>
              <w:rPr>
                <w:rFonts w:ascii="Times New Roman" w:cs="Times New Roman" w:eastAsia="Times New Roman" w:hAnsi="Times New Roman"/>
                <w:sz w:val="18"/>
                <w:szCs w:val="18"/>
                <w:b w:val="1"/>
                <w:bCs w:val="1"/>
                <w:color w:val="auto"/>
              </w:rPr>
              <w:t>​</w:t>
            </w: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45,385​​ ​</w:t>
            </w:r>
            <w:r>
              <w:rPr>
                <w:rFonts w:ascii="Times New Roman" w:cs="Times New Roman" w:eastAsia="Times New Roman" w:hAnsi="Times New Roman"/>
                <w:sz w:val="18"/>
                <w:szCs w:val="18"/>
                <w:b w:val="1"/>
                <w:bCs w:val="1"/>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439,218​​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60,173</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82,124​​ ​</w:t>
            </w:r>
            <w:r>
              <w:rPr>
                <w:rFonts w:ascii="Times New Roman" w:cs="Times New Roman" w:eastAsia="Times New Roman" w:hAnsi="Times New Roman"/>
                <w:sz w:val="18"/>
                <w:szCs w:val="18"/>
                <w:b w:val="1"/>
                <w:bCs w:val="1"/>
                <w:color w:val="auto"/>
              </w:rPr>
              <w:t>​</w:t>
            </w: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337,483​​ ​</w:t>
            </w:r>
            <w:r>
              <w:rPr>
                <w:rFonts w:ascii="Times New Roman" w:cs="Times New Roman" w:eastAsia="Times New Roman" w:hAnsi="Times New Roman"/>
                <w:sz w:val="18"/>
                <w:szCs w:val="18"/>
                <w:b w:val="1"/>
                <w:bCs w:val="1"/>
                <w:color w:val="auto"/>
              </w:rPr>
              <w:t>​</w:t>
            </w: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506,674​​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69,413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540" w:type="dxa"/>
            <w:vAlign w:val="bottom"/>
            <w:gridSpan w:val="1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 43,034​​ ​​1,933,607​​ ​​2,837,656​​ ​ ​388,756</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 ​</w:t>
            </w:r>
          </w:p>
        </w:tc>
        <w:tc>
          <w:tcPr>
            <w:tcW w:w="5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(236,480​​) ​</w:t>
            </w:r>
            <w:r>
              <w:rPr>
                <w:rFonts w:ascii="Times New Roman" w:cs="Times New Roman" w:eastAsia="Times New Roman" w:hAnsi="Times New Roman"/>
                <w:sz w:val="18"/>
                <w:szCs w:val="18"/>
                <w:b w:val="1"/>
                <w:bCs w:val="1"/>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of short-term investments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238,335​​ ​</w:t>
            </w: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Placements of time deposits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4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(300,000​​)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(41,100)</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of time deposits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300,000​​ ​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41,100</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Bridge loans to shareholders related to the restructuring</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7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(305,000​​) ​</w:t>
            </w:r>
            <w:r>
              <w:rPr>
                <w:rFonts w:ascii="Times New Roman" w:cs="Times New Roman" w:eastAsia="Times New Roman" w:hAnsi="Times New Roman"/>
                <w:sz w:val="18"/>
                <w:szCs w:val="18"/>
                <w:b w:val="1"/>
                <w:bCs w:val="1"/>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bridge loans from shareholders related to</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restructuring</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305,000​​ ​</w:t>
            </w: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80" w:type="dxa"/>
            <w:vAlign w:val="bottom"/>
            <w:tcBorders>
              <w:right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(10,734​​) ​</w:t>
            </w:r>
            <w:r>
              <w:rPr>
                <w:rFonts w:ascii="Times New Roman" w:cs="Times New Roman" w:eastAsia="Times New Roman" w:hAnsi="Times New Roman"/>
                <w:sz w:val="18"/>
                <w:szCs w:val="18"/>
                <w:b w:val="1"/>
                <w:bCs w:val="1"/>
                <w:color w:val="auto"/>
              </w:rPr>
              <w:t>​</w:t>
            </w:r>
          </w:p>
        </w:tc>
        <w:tc>
          <w:tcPr>
            <w:tcW w:w="24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(225,504​​)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(30,894)</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 ​</w:t>
            </w: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 ​</w:t>
            </w: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2,593​​ ​ </w:t>
            </w: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an investee</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 ​</w:t>
            </w:r>
            <w:r>
              <w:rPr>
                <w:rFonts w:ascii="Times New Roman" w:cs="Times New Roman" w:eastAsia="Times New Roman" w:hAnsi="Times New Roman"/>
                <w:sz w:val="18"/>
                <w:szCs w:val="18"/>
                <w:b w:val="1"/>
                <w:bCs w:val="1"/>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disposal of long-term investments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 ​</w:t>
            </w:r>
            <w:r>
              <w:rPr>
                <w:rFonts w:ascii="Times New Roman" w:cs="Times New Roman" w:eastAsia="Times New Roman" w:hAnsi="Times New Roman"/>
                <w:sz w:val="18"/>
                <w:szCs w:val="18"/>
                <w:b w:val="1"/>
                <w:bCs w:val="1"/>
                <w:color w:val="auto"/>
              </w:rPr>
              <w:t>​</w:t>
            </w: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717​​ ​</w:t>
            </w: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to related parties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r>
              <w:rPr>
                <w:rFonts w:ascii="Times New Roman" w:cs="Times New Roman" w:eastAsia="Times New Roman" w:hAnsi="Times New Roman"/>
                <w:sz w:val="18"/>
                <w:szCs w:val="18"/>
                <w:b w:val="1"/>
                <w:bCs w:val="1"/>
                <w:color w:val="auto"/>
              </w:rPr>
              <w:t>​</w:t>
            </w: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(34,000​​) ​</w:t>
            </w:r>
            <w:r>
              <w:rPr>
                <w:rFonts w:ascii="Times New Roman" w:cs="Times New Roman" w:eastAsia="Times New Roman" w:hAnsi="Times New Roman"/>
                <w:sz w:val="18"/>
                <w:szCs w:val="18"/>
                <w:b w:val="1"/>
                <w:bCs w:val="1"/>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to third parties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 ​</w:t>
            </w:r>
            <w:r>
              <w:rPr>
                <w:rFonts w:ascii="Times New Roman" w:cs="Times New Roman" w:eastAsia="Times New Roman" w:hAnsi="Times New Roman"/>
                <w:sz w:val="18"/>
                <w:szCs w:val="18"/>
                <w:b w:val="1"/>
                <w:bCs w:val="1"/>
                <w:color w:val="auto"/>
              </w:rPr>
              <w:t>​</w:t>
            </w: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(20,500​​) ​</w:t>
            </w: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loans from a third party</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 ​</w:t>
            </w:r>
            <w:r>
              <w:rPr>
                <w:rFonts w:ascii="Times New Roman" w:cs="Times New Roman" w:eastAsia="Times New Roman" w:hAnsi="Times New Roman"/>
                <w:sz w:val="18"/>
                <w:szCs w:val="18"/>
                <w:b w:val="1"/>
                <w:bCs w:val="1"/>
                <w:color w:val="auto"/>
              </w:rPr>
              <w:t>​</w:t>
            </w: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 ​</w:t>
            </w:r>
            <w:r>
              <w:rPr>
                <w:rFonts w:ascii="Times New Roman" w:cs="Times New Roman" w:eastAsia="Times New Roman" w:hAnsi="Times New Roman"/>
                <w:sz w:val="18"/>
                <w:szCs w:val="18"/>
                <w:b w:val="1"/>
                <w:bCs w:val="1"/>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20,000​​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loans from related parties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 ​</w:t>
            </w:r>
            <w:r>
              <w:rPr>
                <w:rFonts w:ascii="Times New Roman" w:cs="Times New Roman" w:eastAsia="Times New Roman" w:hAnsi="Times New Roman"/>
                <w:sz w:val="18"/>
                <w:szCs w:val="18"/>
                <w:b w:val="1"/>
                <w:bCs w:val="1"/>
                <w:color w:val="auto"/>
              </w:rPr>
              <w:t>​</w:t>
            </w: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38,000​​ ​</w:t>
            </w:r>
            <w:r>
              <w:rPr>
                <w:rFonts w:ascii="Times New Roman" w:cs="Times New Roman" w:eastAsia="Times New Roman" w:hAnsi="Times New Roman"/>
                <w:sz w:val="18"/>
                <w:szCs w:val="18"/>
                <w:b w:val="1"/>
                <w:bCs w:val="1"/>
                <w:color w:val="auto"/>
              </w:rPr>
              <w:t>​</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(15,755​​)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(2,158)</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-6454140</wp:posOffset>
            </wp:positionV>
            <wp:extent cx="5212080" cy="11176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212080" cy="1117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-6214110</wp:posOffset>
            </wp:positionV>
            <wp:extent cx="5212080" cy="2743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212080" cy="27432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-4302760</wp:posOffset>
            </wp:positionV>
            <wp:extent cx="5212080" cy="28257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212080" cy="28257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-2348230</wp:posOffset>
            </wp:positionV>
            <wp:extent cx="1714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-2502535</wp:posOffset>
            </wp:positionV>
            <wp:extent cx="1714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-2502535</wp:posOffset>
            </wp:positionV>
            <wp:extent cx="15430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-2502535</wp:posOffset>
            </wp:positionV>
            <wp:extent cx="42005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4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4" w:name="page225"/>
    <w:bookmarkEnd w:id="2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(All amounts in thousands, except for share, per share data or otherwise noted)</w:t>
      </w:r>
    </w:p>
    <w:p>
      <w:pPr>
        <w:spacing w:after="0" w:line="187" w:lineRule="exact"/>
        <w:rPr>
          <w:sz w:val="20"/>
          <w:szCs w:val="20"/>
          <w:color w:val="auto"/>
        </w:rPr>
      </w:pPr>
    </w:p>
    <w:tbl>
      <w:tblPr>
        <w:tblLayout w:type="fixed"/>
        <w:tblInd w:w="1260" w:type="dxa"/>
        <w:tblCellMar>
          <w:top w:w="0" w:type="dxa"/>
          <w:left w:w="0" w:type="dxa"/>
          <w:bottom w:w="0" w:type="dxa"/>
          <w:right w:w="0" w:type="dxa"/>
        </w:tblCellMar>
      </w:tblPr>
      <w:tr>
        <w:trPr>
          <w:trHeight w:val="200"/>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11"/>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500" w:type="dxa"/>
            <w:vAlign w:val="bottom"/>
            <w:tcBorders>
              <w:bottom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3"/>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4"/>
        </w:trPr>
        <w:tc>
          <w:tcPr>
            <w:tcW w:w="4640" w:type="dxa"/>
            <w:vAlign w:val="bottom"/>
          </w:tcPr>
          <w:p>
            <w:pPr>
              <w:spacing w:after="0"/>
              <w:rPr>
                <w:sz w:val="12"/>
                <w:szCs w:val="12"/>
                <w:color w:val="auto"/>
              </w:rPr>
            </w:pPr>
          </w:p>
        </w:tc>
        <w:tc>
          <w:tcPr>
            <w:tcW w:w="20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80" w:type="dxa"/>
            <w:vAlign w:val="bottom"/>
            <w:tcBorders>
              <w:top w:val="single" w:sz="8" w:color="auto"/>
            </w:tcBorders>
          </w:tcPr>
          <w:p>
            <w:pPr>
              <w:spacing w:after="0"/>
              <w:rPr>
                <w:sz w:val="12"/>
                <w:szCs w:val="12"/>
                <w:color w:val="auto"/>
              </w:rPr>
            </w:pPr>
          </w:p>
        </w:tc>
        <w:tc>
          <w:tcPr>
            <w:tcW w:w="300" w:type="dxa"/>
            <w:vAlign w:val="bottom"/>
            <w:gridSpan w:val="2"/>
          </w:tcPr>
          <w:p>
            <w:pPr>
              <w:jc w:val="right"/>
              <w:ind w:right="14"/>
              <w:spacing w:after="0" w:line="145" w:lineRule="exact"/>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tcBorders>
              <w:top w:val="single" w:sz="8" w:color="auto"/>
            </w:tcBorders>
            <w:gridSpan w:val="4"/>
          </w:tcPr>
          <w:p>
            <w:pPr>
              <w:jc w:val="right"/>
              <w:ind w:right="50"/>
              <w:spacing w:after="0" w:line="145" w:lineRule="exact"/>
              <w:rPr>
                <w:sz w:val="20"/>
                <w:szCs w:val="20"/>
                <w:color w:val="auto"/>
              </w:rPr>
            </w:pPr>
            <w:r>
              <w:rPr>
                <w:rFonts w:ascii="Times New Roman" w:cs="Times New Roman" w:eastAsia="Times New Roman" w:hAnsi="Times New Roman"/>
                <w:sz w:val="14"/>
                <w:szCs w:val="14"/>
                <w:b w:val="1"/>
                <w:bCs w:val="1"/>
                <w:color w:val="auto"/>
              </w:rPr>
              <w:t>RMB    ​ ​</w:t>
            </w:r>
          </w:p>
        </w:tc>
        <w:tc>
          <w:tcPr>
            <w:tcW w:w="500" w:type="dxa"/>
            <w:vAlign w:val="bottom"/>
            <w:tcBorders>
              <w:top w:val="single" w:sz="8" w:color="auto"/>
            </w:tcBorders>
          </w:tcPr>
          <w:p>
            <w:pPr>
              <w:jc w:val="center"/>
              <w:ind w:right="31"/>
              <w:spacing w:after="0" w:line="145"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(Note 2(f))</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 business combination, net of cash acquired</w:t>
            </w:r>
          </w:p>
        </w:tc>
        <w:tc>
          <w:tcPr>
            <w:tcW w:w="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(10,813​​) ​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(1,481)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 ​​(10,982​​)</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 (146,711​​)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(229,479​​)</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​(31,438)​</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09"/>
        </w:trPr>
        <w:tc>
          <w:tcPr>
            <w:tcW w:w="4640" w:type="dxa"/>
            <w:vAlign w:val="bottom"/>
            <w:vMerge w:val="continue"/>
          </w:tcPr>
          <w:p>
            <w:pPr>
              <w:spacing w:after="0"/>
              <w:rPr>
                <w:sz w:val="18"/>
                <w:szCs w:val="18"/>
                <w:color w:val="auto"/>
              </w:rPr>
            </w:pP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spacing w:after="0"/>
              <w:rPr>
                <w:sz w:val="18"/>
                <w:szCs w:val="18"/>
                <w:color w:val="auto"/>
              </w:rPr>
            </w:pP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0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Series B+ preferred shares, net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issuance costs</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331,422​​ ​</w:t>
            </w:r>
            <w:r>
              <w:rPr>
                <w:rFonts w:ascii="Times New Roman" w:cs="Times New Roman" w:eastAsia="Times New Roman" w:hAnsi="Times New Roman"/>
                <w:sz w:val="18"/>
                <w:szCs w:val="18"/>
                <w:b w:val="1"/>
                <w:bCs w:val="1"/>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24,956​​ ​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short-term borrowings</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(27,110​​) ​ </w:t>
            </w: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(3,714)</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5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(210,082​​)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(28,781)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for offering expenses</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(10,091​​) ​ </w:t>
            </w: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(1,382)</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injection from non-controlling interests and</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 ​</w:t>
            </w:r>
            <w:r>
              <w:rPr>
                <w:rFonts w:ascii="Times New Roman" w:cs="Times New Roman" w:eastAsia="Times New Roman" w:hAnsi="Times New Roman"/>
                <w:sz w:val="18"/>
                <w:szCs w:val="18"/>
                <w:b w:val="1"/>
                <w:bCs w:val="1"/>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49,677​​ ​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to non-controlling shareholders</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financing activities</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344,197​​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(173,932​​)</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​(23,828)​</w:t>
            </w:r>
          </w:p>
        </w:tc>
        <w:tc>
          <w:tcPr>
            <w:tcW w:w="0" w:type="dxa"/>
            <w:vAlign w:val="bottom"/>
          </w:tcPr>
          <w:p>
            <w:pPr>
              <w:spacing w:after="0"/>
              <w:rPr>
                <w:sz w:val="1"/>
                <w:szCs w:val="1"/>
                <w:color w:val="auto"/>
              </w:rPr>
            </w:pPr>
          </w:p>
        </w:tc>
      </w:tr>
      <w:tr>
        <w:trPr>
          <w:trHeight w:val="201"/>
        </w:trPr>
        <w:tc>
          <w:tcPr>
            <w:tcW w:w="464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w w:val="98"/>
              </w:rPr>
              <w:t>Effect of exchange rate changes on cash and cash equivalents</w:t>
            </w: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and restricted cash</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(9,159​​) ​​</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11,756​​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1,611 ​</w:t>
            </w:r>
          </w:p>
        </w:tc>
        <w:tc>
          <w:tcPr>
            <w:tcW w:w="0" w:type="dxa"/>
            <w:vAlign w:val="bottom"/>
          </w:tcPr>
          <w:p>
            <w:pPr>
              <w:spacing w:after="0"/>
              <w:rPr>
                <w:sz w:val="1"/>
                <w:szCs w:val="1"/>
                <w:color w:val="auto"/>
              </w:rPr>
            </w:pPr>
          </w:p>
        </w:tc>
      </w:tr>
      <w:tr>
        <w:trPr>
          <w:trHeight w:val="207"/>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 and restricted</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w:t>
            </w:r>
          </w:p>
        </w:tc>
        <w:tc>
          <w:tcPr>
            <w:tcW w:w="3540" w:type="dxa"/>
            <w:vAlign w:val="bottom"/>
            <w:gridSpan w:val="16"/>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 32,019​​ ​​2,121,934​​ ​​2,446,001​​ ​ ​335,101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year</w:t>
            </w:r>
          </w:p>
        </w:tc>
        <w:tc>
          <w:tcPr>
            <w:tcW w:w="112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 ​​168,727​​ ​​</w:t>
            </w:r>
          </w:p>
        </w:tc>
        <w:tc>
          <w:tcPr>
            <w:tcW w:w="2500" w:type="dxa"/>
            <w:vAlign w:val="bottom"/>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rPr>
              <w:t>200,746​​ ​​2,322,680​​ ​ ​318,206 ​</w:t>
            </w:r>
          </w:p>
        </w:tc>
        <w:tc>
          <w:tcPr>
            <w:tcW w:w="0" w:type="dxa"/>
            <w:vAlign w:val="bottom"/>
          </w:tcPr>
          <w:p>
            <w:pPr>
              <w:spacing w:after="0"/>
              <w:rPr>
                <w:sz w:val="1"/>
                <w:szCs w:val="1"/>
                <w:color w:val="auto"/>
              </w:rPr>
            </w:pPr>
          </w:p>
        </w:tc>
      </w:tr>
      <w:tr>
        <w:trPr>
          <w:trHeight w:val="201"/>
        </w:trPr>
        <w:tc>
          <w:tcPr>
            <w:tcW w:w="4640" w:type="dxa"/>
            <w:vAlign w:val="bottom"/>
            <w:tcBorders>
              <w:top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w w:val="95"/>
              </w:rPr>
              <w:t>Cash and cash equivalents and restricted cash at the end of the</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2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​​200,746​​</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​2,322,680​​</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​4,768,681​​</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​653,307</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200,746​​</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2,322,680​​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4,754,783​​</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651,403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13,898​​ ​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7"/>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Total cash and restricted cash shown in the statement of cash</w:t>
            </w:r>
          </w:p>
        </w:tc>
        <w:tc>
          <w:tcPr>
            <w:tcW w:w="92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​​200,746​​</w:t>
            </w:r>
          </w:p>
        </w:tc>
        <w:tc>
          <w:tcPr>
            <w:tcW w:w="1920" w:type="dxa"/>
            <w:vAlign w:val="bottom"/>
            <w:gridSpan w:val="8"/>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​​2,322,680​​ ​​4,768,681​​</w:t>
            </w:r>
          </w:p>
        </w:tc>
        <w:tc>
          <w:tcPr>
            <w:tcW w:w="7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​653,307 ​</w:t>
            </w:r>
          </w:p>
        </w:tc>
        <w:tc>
          <w:tcPr>
            <w:tcW w:w="0" w:type="dxa"/>
            <w:vAlign w:val="bottom"/>
          </w:tcPr>
          <w:p>
            <w:pPr>
              <w:spacing w:after="0"/>
              <w:rPr>
                <w:sz w:val="1"/>
                <w:szCs w:val="1"/>
                <w:color w:val="auto"/>
              </w:rPr>
            </w:pPr>
          </w:p>
        </w:tc>
      </w:tr>
      <w:tr>
        <w:trPr>
          <w:trHeight w:val="225"/>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flows</w:t>
            </w:r>
          </w:p>
        </w:tc>
        <w:tc>
          <w:tcPr>
            <w:tcW w:w="920" w:type="dxa"/>
            <w:vAlign w:val="bottom"/>
            <w:gridSpan w:val="5"/>
            <w:vMerge w:val="continue"/>
          </w:tcPr>
          <w:p>
            <w:pPr>
              <w:spacing w:after="0"/>
              <w:rPr>
                <w:sz w:val="19"/>
                <w:szCs w:val="19"/>
                <w:color w:val="auto"/>
              </w:rPr>
            </w:pPr>
          </w:p>
        </w:tc>
        <w:tc>
          <w:tcPr>
            <w:tcW w:w="1920" w:type="dxa"/>
            <w:vAlign w:val="bottom"/>
            <w:gridSpan w:val="8"/>
            <w:vMerge w:val="continue"/>
          </w:tcPr>
          <w:p>
            <w:pPr>
              <w:spacing w:after="0"/>
              <w:rPr>
                <w:sz w:val="19"/>
                <w:szCs w:val="19"/>
                <w:color w:val="auto"/>
              </w:rPr>
            </w:pPr>
          </w:p>
        </w:tc>
        <w:tc>
          <w:tcPr>
            <w:tcW w:w="7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2"/>
        </w:trPr>
        <w:tc>
          <w:tcPr>
            <w:tcW w:w="4640" w:type="dxa"/>
            <w:vAlign w:val="bottom"/>
            <w:vMerge w:val="continue"/>
          </w:tcPr>
          <w:p>
            <w:pPr>
              <w:spacing w:after="0"/>
              <w:rPr>
                <w:sz w:val="15"/>
                <w:szCs w:val="15"/>
                <w:color w:val="auto"/>
              </w:rPr>
            </w:pPr>
          </w:p>
        </w:tc>
        <w:tc>
          <w:tcPr>
            <w:tcW w:w="280" w:type="dxa"/>
            <w:vAlign w:val="bottom"/>
            <w:gridSpan w:val="3"/>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00" w:type="dxa"/>
            <w:vAlign w:val="bottom"/>
            <w:gridSpan w:val="2"/>
          </w:tcPr>
          <w:p>
            <w:pPr>
              <w:jc w:val="right"/>
              <w:ind w:right="6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(206,970​​) ​</w:t>
            </w:r>
            <w:r>
              <w:rPr>
                <w:rFonts w:ascii="Times New Roman" w:cs="Times New Roman" w:eastAsia="Times New Roman" w:hAnsi="Times New Roman"/>
                <w:sz w:val="18"/>
                <w:szCs w:val="18"/>
                <w:b w:val="1"/>
                <w:bCs w:val="1"/>
                <w:color w:val="auto"/>
              </w:rPr>
              <w:t>​</w:t>
            </w:r>
          </w:p>
        </w:tc>
        <w:tc>
          <w:tcPr>
            <w:tcW w:w="15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(644,267​​)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(88,264)</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financing activities:</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spacing w:after="0"/>
              <w:rPr>
                <w:sz w:val="18"/>
                <w:szCs w:val="18"/>
                <w:color w:val="auto"/>
              </w:rPr>
            </w:pP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convertible redeemable preferred shares to</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value</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30,201​​ ​</w:t>
            </w:r>
            <w:r>
              <w:rPr>
                <w:rFonts w:ascii="Times New Roman" w:cs="Times New Roman" w:eastAsia="Times New Roman" w:hAnsi="Times New Roman"/>
                <w:sz w:val="18"/>
                <w:szCs w:val="18"/>
                <w:b w:val="1"/>
                <w:bCs w:val="1"/>
                <w:color w:val="auto"/>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43,330​​ ​</w:t>
            </w:r>
            <w:r>
              <w:rPr>
                <w:rFonts w:ascii="Times New Roman" w:cs="Times New Roman" w:eastAsia="Times New Roman" w:hAnsi="Times New Roman"/>
                <w:sz w:val="18"/>
                <w:szCs w:val="18"/>
                <w:b w:val="1"/>
                <w:bCs w:val="1"/>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62,000​​ ​ </w:t>
            </w: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8,494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redeemable non-controlling interests to</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value</w:t>
            </w:r>
          </w:p>
        </w:tc>
        <w:tc>
          <w:tcPr>
            <w:tcW w:w="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20"/>
                <w:szCs w:val="20"/>
                <w:color w:val="auto"/>
              </w:rPr>
            </w:pPr>
          </w:p>
        </w:tc>
        <w:tc>
          <w:tcPr>
            <w:tcW w:w="4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18,891​​ ​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accrued expenses and other liabilities related to</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2,034​​ ​</w:t>
            </w:r>
            <w:r>
              <w:rPr>
                <w:rFonts w:ascii="Times New Roman" w:cs="Times New Roman" w:eastAsia="Times New Roman" w:hAnsi="Times New Roman"/>
                <w:sz w:val="18"/>
                <w:szCs w:val="18"/>
                <w:b w:val="1"/>
                <w:bCs w:val="1"/>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45,202​​ ​ </w:t>
            </w: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6,193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accrued expenses and other liabilities related to</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non-controlling interests in subsidiaries</w:t>
            </w:r>
          </w:p>
        </w:tc>
        <w:tc>
          <w:tcPr>
            <w:tcW w:w="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 ​</w:t>
            </w:r>
            <w:r>
              <w:rPr>
                <w:rFonts w:ascii="Times New Roman" w:cs="Times New Roman" w:eastAsia="Times New Roman" w:hAnsi="Times New Roman"/>
                <w:sz w:val="18"/>
                <w:szCs w:val="18"/>
                <w:b w:val="1"/>
                <w:bCs w:val="1"/>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exchanged for ordinary shares and the</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share-based compensation expense</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39,173​​ ​</w:t>
            </w:r>
            <w:r>
              <w:rPr>
                <w:rFonts w:ascii="Times New Roman" w:cs="Times New Roman" w:eastAsia="Times New Roman" w:hAnsi="Times New Roman"/>
                <w:sz w:val="18"/>
                <w:szCs w:val="18"/>
                <w:b w:val="1"/>
                <w:bCs w:val="1"/>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exchanged for preferred shares (Note 18)</w:t>
            </w:r>
          </w:p>
        </w:tc>
        <w:tc>
          <w:tcPr>
            <w:tcW w:w="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(32,181​​) ​</w:t>
            </w:r>
            <w:r>
              <w:rPr>
                <w:rFonts w:ascii="Times New Roman" w:cs="Times New Roman" w:eastAsia="Times New Roman" w:hAnsi="Times New Roman"/>
                <w:sz w:val="18"/>
                <w:szCs w:val="18"/>
                <w:b w:val="1"/>
                <w:bCs w:val="1"/>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-1962150</wp:posOffset>
            </wp:positionV>
            <wp:extent cx="5212080" cy="13716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-1687830</wp:posOffset>
            </wp:positionV>
            <wp:extent cx="5212080" cy="13716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-2536825</wp:posOffset>
            </wp:positionV>
            <wp:extent cx="1714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-2828290</wp:posOffset>
            </wp:positionV>
            <wp:extent cx="1714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-2828290</wp:posOffset>
            </wp:positionV>
            <wp:extent cx="15430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-2828290</wp:posOffset>
            </wp:positionV>
            <wp:extent cx="420052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2005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-3702685</wp:posOffset>
            </wp:positionV>
            <wp:extent cx="5212080" cy="16256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-5108575</wp:posOffset>
            </wp:positionV>
            <wp:extent cx="5212080" cy="1454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5" w:name="page226"/>
    <w:bookmarkEnd w:id="2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 ORGANIZATION AND PRINCIPAL ACTIVITIES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  Principal activities and subsidiaries</w:t>
      </w:r>
    </w:p>
    <w:p>
      <w:pPr>
        <w:spacing w:after="0" w:line="16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Chagee Holdings Limited (the “Company” or “Chagee”) was incorporated in the Cayman Islands under the Cayman Islands Companies Law as an exempted company with limited liability on May 12, 2023. The Company and its subsidiaries, together referred to as the “Group”. The Group is primarily engaged in the sales of freshly-made tea drinks, related raw materials, packaging, teahouse equipment and other supplies in the People’s Republic of China (the references to “PRC” are to the People’s Republic of China, for the purposes of the financial statements only, excluding Hong Kong, Macau and Taiwan).</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December 31, 2024, the Company’s major subsidiaries were as follows:</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Percentage of</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7"/>
              </w:rPr>
              <w:t>Place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 of</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7"/>
              </w:rPr>
              <w:t>beneficial</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5"/>
          </w:tcPr>
          <w:p>
            <w:pPr>
              <w:ind w:left="20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Incorporation </w:t>
            </w:r>
            <w:r>
              <w:rPr>
                <w:rFonts w:ascii="Times New Roman" w:cs="Times New Roman" w:eastAsia="Times New Roman" w:hAnsi="Times New Roman"/>
                <w:sz w:val="24"/>
                <w:szCs w:val="24"/>
                <w:b w:val="1"/>
                <w:bCs w:val="1"/>
                <w:color w:val="auto"/>
                <w:vertAlign w:val="subscript"/>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incorporation</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ownership</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Major subsidiaries</w:t>
            </w:r>
            <w:r>
              <w:rPr>
                <w:rFonts w:ascii="Times New Roman" w:cs="Times New Roman" w:eastAsia="Times New Roman" w:hAnsi="Times New Roman"/>
                <w:sz w:val="18"/>
                <w:szCs w:val="18"/>
                <w:color w:val="auto"/>
              </w:rPr>
              <w:t>:</w:t>
            </w: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420" w:type="dxa"/>
            <w:vAlign w:val="bottom"/>
            <w:vMerge w:val="continue"/>
          </w:tcPr>
          <w:p>
            <w:pPr>
              <w:spacing w:after="0"/>
              <w:rPr>
                <w:sz w:val="22"/>
                <w:szCs w:val="22"/>
                <w:color w:val="auto"/>
              </w:rPr>
            </w:pPr>
          </w:p>
        </w:tc>
        <w:tc>
          <w:tcPr>
            <w:tcW w:w="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80" w:type="dxa"/>
            <w:vAlign w:val="bottom"/>
          </w:tcPr>
          <w:p>
            <w:pPr>
              <w:spacing w:after="0"/>
              <w:rPr>
                <w:sz w:val="22"/>
                <w:szCs w:val="22"/>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80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Chagee Holdings Pte. Ltd.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(“Chagee Holdings Singapore”)​​ Singapore ​​</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June 9, 2023​​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​​Investing holding company​</w:t>
            </w:r>
          </w:p>
        </w:tc>
        <w:tc>
          <w:tcPr>
            <w:tcW w:w="0" w:type="dxa"/>
            <w:vAlign w:val="bottom"/>
          </w:tcPr>
          <w:p>
            <w:pPr>
              <w:spacing w:after="0"/>
              <w:rPr>
                <w:sz w:val="1"/>
                <w:szCs w:val="1"/>
                <w:color w:val="auto"/>
              </w:rPr>
            </w:pPr>
          </w:p>
        </w:tc>
      </w:tr>
      <w:tr>
        <w:trPr>
          <w:trHeight w:val="225"/>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Chagee Investment Pte. Ltd.</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(“Chagee Investment”)</w:t>
            </w:r>
          </w:p>
        </w:tc>
        <w:tc>
          <w:tcPr>
            <w:tcW w:w="13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 Singapore ​​</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June 30, 2023​​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​​Investing holding company​</w:t>
            </w:r>
          </w:p>
        </w:tc>
        <w:tc>
          <w:tcPr>
            <w:tcW w:w="0" w:type="dxa"/>
            <w:vAlign w:val="bottom"/>
          </w:tcPr>
          <w:p>
            <w:pPr>
              <w:spacing w:after="0"/>
              <w:rPr>
                <w:sz w:val="1"/>
                <w:szCs w:val="1"/>
                <w:color w:val="auto"/>
              </w:rPr>
            </w:pPr>
          </w:p>
        </w:tc>
      </w:tr>
      <w:tr>
        <w:trPr>
          <w:trHeight w:val="225"/>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Beijing Chagee Catering</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Co., Ltd.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(“Beijing Chagee”)</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1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​​December 11, 2020​​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​​Investing holding company​</w:t>
            </w:r>
          </w:p>
        </w:tc>
        <w:tc>
          <w:tcPr>
            <w:tcW w:w="0" w:type="dxa"/>
            <w:vAlign w:val="bottom"/>
          </w:tcPr>
          <w:p>
            <w:pPr>
              <w:spacing w:after="0"/>
              <w:rPr>
                <w:sz w:val="1"/>
                <w:szCs w:val="1"/>
                <w:color w:val="auto"/>
              </w:rPr>
            </w:pPr>
          </w:p>
        </w:tc>
      </w:tr>
      <w:tr>
        <w:trPr>
          <w:trHeight w:val="225"/>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Sichuan Chagee Enterprise</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Co., Ltd.</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March 24,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​​Franchise business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Guochao Information</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Technology (Dongtai) Co., Ltd.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April 9, 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​​Supply chain product sales ​</w:t>
            </w:r>
          </w:p>
        </w:tc>
        <w:tc>
          <w:tcPr>
            <w:tcW w:w="0" w:type="dxa"/>
            <w:vAlign w:val="bottom"/>
          </w:tcPr>
          <w:p>
            <w:pPr>
              <w:spacing w:after="0"/>
              <w:rPr>
                <w:sz w:val="1"/>
                <w:szCs w:val="1"/>
                <w:color w:val="auto"/>
              </w:rPr>
            </w:pPr>
          </w:p>
        </w:tc>
      </w:tr>
      <w:tr>
        <w:trPr>
          <w:trHeight w:val="225"/>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Sichuan Chayudao Enterprise</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Co., Ltd.</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PRC</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May 11, 2023​​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​​Supply chain product sales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  Reorganization</w:t>
      </w:r>
    </w:p>
    <w:p>
      <w:pPr>
        <w:spacing w:after="0" w:line="14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Prior to the incorporation of the Company and the completion of the restructuring (the “Restructuring”) as described below, the Group conducted its business initially through Beijing Chagee and its subsidiaries in the PRC. Beijing Chagee had previously issued Series A and Series B preferred shares to certain investors during the years of 2020 and 2021 (Note 19).</w:t>
      </w:r>
    </w:p>
    <w:p>
      <w:pPr>
        <w:spacing w:after="0" w:line="11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proposed initial public offering of the Company’s shares, the Group undertook certain corporate restructuring activities in 2023 to establish an offshore structure with the Company as the Group’s ultimate holding company.</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 effect the Restructuring, the following steps were undertaken:</w:t>
      </w:r>
    </w:p>
    <w:p>
      <w:pPr>
        <w:spacing w:after="0" w:line="104" w:lineRule="exact"/>
        <w:rPr>
          <w:sz w:val="20"/>
          <w:szCs w:val="20"/>
          <w:color w:val="auto"/>
        </w:rPr>
      </w:pPr>
    </w:p>
    <w:p>
      <w:pPr>
        <w:jc w:val="both"/>
        <w:ind w:left="1800" w:right="419" w:hanging="180"/>
        <w:spacing w:after="0" w:line="275"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2023, the Company established a directly wholly owned subsidiary Chagee Holdings Singapore, and Chagee Holdings Singapore established a wholly owned subsidiary Chagee Investment.</w:t>
      </w:r>
    </w:p>
    <w:p>
      <w:pPr>
        <w:spacing w:after="0" w:line="32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 July 2023, in anticipation of the Restructuring, the Company issued preferred shares to certain Beijing Chagee’s Series A and Series B preferred shareholders in proportion to their previous respective equity interest in Beijing Chagee and with substantially the same terms. For preferred shareholders who are required to complete certain regulatory procedures before they can legally own shares in the Company, the Company entered into an exchange agreement with them that they shall exchange their interest in Beijing Chagee into preferred shares of the Company when regulatory procedures are completed.</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6" w:name="page227"/>
    <w:bookmarkEnd w:id="2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520" w:hanging="260"/>
        <w:spacing w:after="0"/>
        <w:tabs>
          <w:tab w:leader="none" w:pos="152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02" w:lineRule="exact"/>
        <w:rPr>
          <w:rFonts w:ascii="Times New Roman" w:cs="Times New Roman" w:eastAsia="Times New Roman" w:hAnsi="Times New Roman"/>
          <w:sz w:val="18"/>
          <w:szCs w:val="18"/>
          <w:b w:val="1"/>
          <w:bCs w:val="1"/>
          <w:color w:val="auto"/>
        </w:rPr>
      </w:pPr>
    </w:p>
    <w:p>
      <w:pPr>
        <w:jc w:val="both"/>
        <w:ind w:left="1800" w:right="419" w:hanging="180"/>
        <w:spacing w:after="0" w:line="253" w:lineRule="auto"/>
        <w:tabs>
          <w:tab w:leader="none" w:pos="18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Chagee investment paid to Beijing Chagee RMB36.9 million as capital contribution and then all existing ordinary shareholders of Beijing Chagee transferred their interest in Beijing Chagee to Chagee Investment for nominal consideration and all preferred shareholders’ interest in Beijing Chagee were repurchased by Beijing Chagee. As a result, Chagee Investment obtained 100% equity interests of Beijing Chagee. In September and November 2023, Beijing Chagee paid RMB195.0 million and RMB110.0 million, respectively to the Series A and Series B preferred shareholders as legal consideration for repurchase of their interest in Beijing Chagee. Such consideration must be returned to the Company as the legal subscription price for the preferred shares of the Company and was actually received by the Company before the completion of the Restructuring in December 2023. The consideration paid is accounted for as a bridge loan to the shareholders.</w:t>
      </w:r>
    </w:p>
    <w:p>
      <w:pPr>
        <w:spacing w:after="0" w:line="302"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the required regulatory procedures were completed for certain preferred shareholders to legally own shares in the Company. As such, they completed the exchange of their interest in Beijing Chagee into preferred shares of the Company pursuant to the exchange agreement.</w:t>
      </w:r>
    </w:p>
    <w:p>
      <w:pPr>
        <w:spacing w:after="0" w:line="54"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Restructuring in December 2023, all of the ordinary and preferred shareholders of Beijing Chagee exchanged their interests into ordinary shares, Series A and Series B preferred shares of the Company as applicable, which are in proportion to their previous respective equity interests in Beijing Chagee prior to the Restructuring.</w:t>
      </w:r>
    </w:p>
    <w:p>
      <w:pPr>
        <w:spacing w:after="0" w:line="11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Upon the completion of the Restructuring, the business was still carried out by PRC subsidiaries and within the Group. The Company, Chagee Holdings Singapore and Chagee Investment had no operations and only nominal amounts of net assets prior to the consummation of the Restructuring and did not meet the definition of a business. All of the Group’s business continued to be conducted through Beijing Chagee and its subsidiaries after the Restructuring. There was no change in control over the Group before and after the Restructuring.</w:t>
      </w:r>
    </w:p>
    <w:p>
      <w:pPr>
        <w:spacing w:after="0" w:line="325"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Accordingly, the above Restructuring transactions, are regarded as a non-substantive recapitalization of Beijing Chagee with no change in the basis of presentation of the financial statements. The Group’s financial information has been prepared on a consolidated basis as if the corporate structure of the Company after the Restructuring had been in existence throughout the periods presented, and represents a continuation of the consolidated financial statements of Beijing Chagee whereas the assets, liabilities and operating results were presented at their historical carrying values.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14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the Group have been prepared in accordance with accounting principles generally accepted in the United States of America (“U.S. GAAP”). Significant accounting policies followed by the Group in the preparation of the accompanying consolidated financial statements are summarized below.</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  Principles of consolidation</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Group’s consolidated financial statements include the financial statements of the Company and entities controlled by the Company and its subsidiaries.</w:t>
      </w:r>
    </w:p>
    <w:p>
      <w:pPr>
        <w:spacing w:after="0" w:line="94"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7" w:name="page228"/>
    <w:bookmarkEnd w:id="2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All intercompany transactions and balances among the Company and its subsidiaries have been eliminated upon consolidation.</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  Non-controlling interests</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For the Group’s non-wholly owned subsidiaries, a non-controlling interests is recognized to reflect the portion of equity that is not attributable, directly or indirectly, to the Group. Non -controlling interests are classified as a separate line item in the equity section of the Group’s consolidated balance sheets and have been separately disclosed in the Group’s consolidated statements of operations and comprehensive (loss)/income to distinguish the interests from that of the Group.</w:t>
      </w:r>
    </w:p>
    <w:p>
      <w:pPr>
        <w:spacing w:after="0" w:line="114"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Redeemable non-controlling interests are recognized at fair value on the acquisition date as a mezzanine equity. When the non-controlling interests is contingently redeemable upon the occurrence of a conditional event, which is not solely within the control of the Company, the non-controlling interests is classified as mezzanine equity according to Accounting Standards Codification (“ASC”) 480. The Group evaluates the possibility of the redemption at every balance sheet date, and records accretions of the mezzanine equity to its redemption amount when the redemption becomes probable. The accretion is recorded against retained earnings, or in the absence of retained earnings, by charges against additional paid-in-capital. Once additional paid-in-capital has been exhausted, additional charges are recorded by increasing the accumulated deficit.</w:t>
      </w:r>
    </w:p>
    <w:p>
      <w:pPr>
        <w:spacing w:after="0" w:line="32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accretion process of adjusting redeemable non-controlling interests to its redemption value is performed after attribution of net income or loss pursuant to ASC 810, Consolidation. The redemption value is calculated according to the terms agreed with the non-controlling interests. The carrying amount of the redeemable non -controlling interests will equal the higher of the amount resulting from application of ASC 810 or its redemption amount. Upon the elapse of the redemption feature, the carrying amount of redeemable non-controlling interests is reclassified to non-controlling interests.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  Use of estimates</w:t>
      </w:r>
    </w:p>
    <w:p>
      <w:pPr>
        <w:spacing w:after="0" w:line="14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mezzanine equity and disclosure of contingent liabilities at the balance sheet date and reported revenues and expenses during the reported periods in the consolidated financial statements and accompanying notes.</w:t>
      </w:r>
    </w:p>
    <w:p>
      <w:pPr>
        <w:spacing w:after="0" w:line="110"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Significant accounting estimates reflected in the Group’s consolidated financial statements primarily include, but are not limited to, revenue recognition, fair value of convertible redeemable preferred shares upon initial recognition, the determination of share-based compensation, lower of cost and net realizable value of inventories, allowance for expected credit losses, valuation allowance of deferred tax assets, useful life of property and equipment and the discount rate of operating lease liabilities. Changes in facts and circumstances may result in revised estimates. Actual results could differ from those estimates, and as such, differences may be material to the consolidated financial statements.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  Functional currency and foreign currency translation</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Group uses Renminbi (“RMB”) as its reporting currency. The functional currency of the Company and its overseas subsidiaries which are incorporated in Cayman Islands and the United States is United States dollars (“US$ ”). Other overseas subsidiaries use their local currency as their functional currency, while the functional currency of the PRC entities subsidiary in the Group is RMB. In the consolidated financial statements, the financial information of the Company and its subsidiaries, which use currency other than RMB as their functional currency, have been translated into RMB. The determination of the respective functional currency is based on the criteria set out by Accounting Standards Codification (ASC) 830, Foreign Currency Matters.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8" w:name="page229"/>
    <w:bookmarkEnd w:id="2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9"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Foreign currency transactions denominated in currencies other than functional currency are translated into the functional currency using the exchange rates prevailing at the dates of the transactions. Monetary assets and liabilities denominated in foreign currencies are translated into functional currency using the applicable exchange rates at the balance sheet date. Non-monetary items that are measured in terms of historical cost in foreign currency are re-measured using the exchange rates at the dates of the initial transactions. Exchange gains and losses resulting from foreign currency transactions denominated in a currency other than the functional currency are recorded as others, net in the consolidated statements of operations and comprehensive (loss)/income.</w:t>
      </w:r>
    </w:p>
    <w:p>
      <w:pPr>
        <w:spacing w:after="0" w:line="32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financial statements of the Group are translated from the functional currency into RMB. Assets and liabilities denominated in foreign currencies are translated into RMB using the applicable exchange rates at the balance sheet date. Equity accounts other than earnings generated in current period are translated into RMB at the appropriate historical rates. Revenues, expenses, gains and losses are translated into RMB using the average exchange rates for the relevant period. The resulting foreign currency translation adjustments are recorded as a component of accumulated other comprehensive (loss)/income in the consolidated statements of changes in shareholders’ (deficit)/equity and a component of other comprehensive income in the consolidated statements of operations and comprehensive (loss)/income.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  Convenience translation</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Translations of balances in the consolidated balance sheet, consolidated statement of operations and comprehensive income, changes in shareholder’s equity and cash flows from RMB into US$ as of and for the year ended December 31, 2024 are solely for the convenience of the readers and were calculated at the noon buying rate of US$1.00=RMB7.2993 representing the exchange rate set forth in the H.10 statistical release of the Federal Reserve Board on December 31, 2024. No representation is made that the RMB amounts could have been, or could be, converted, realized or settled into US$ at that rate on December 31, 2024, or at any other rate. The US$ convenience translation is not required under U.S. GAAP and all US$ convenience translation amounts in the accompanying consolidated financial statements are unaudited.</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  Fair value measurements</w:t>
      </w:r>
    </w:p>
    <w:p>
      <w:pPr>
        <w:spacing w:after="0" w:line="14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in an orderly transaction between market participants at the measurement date. When determining the fair value measurement for assets and liabilities required or permitted to be either recorded or disclosed at fair value, the Group considers the principal or most advantageous market in which it would transact, and it also considers assumptions that market participants would use when pricing the asset or liability.</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83" w:lineRule="exact"/>
        <w:rPr>
          <w:sz w:val="20"/>
          <w:szCs w:val="20"/>
          <w:color w:val="auto"/>
        </w:rPr>
      </w:pPr>
    </w:p>
    <w:p>
      <w:pPr>
        <w:ind w:left="2440" w:right="419" w:hanging="809"/>
        <w:spacing w:after="0" w:line="282" w:lineRule="auto"/>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81" w:lineRule="exact"/>
        <w:rPr>
          <w:sz w:val="20"/>
          <w:szCs w:val="20"/>
          <w:color w:val="auto"/>
        </w:rPr>
      </w:pPr>
    </w:p>
    <w:p>
      <w:pPr>
        <w:ind w:left="2440" w:right="419" w:hanging="809"/>
        <w:spacing w:after="0" w:line="282" w:lineRule="auto"/>
        <w:rPr>
          <w:sz w:val="20"/>
          <w:szCs w:val="20"/>
          <w:color w:val="auto"/>
        </w:rPr>
      </w:pPr>
      <w:r>
        <w:rPr>
          <w:rFonts w:ascii="Times New Roman" w:cs="Times New Roman" w:eastAsia="Times New Roman" w:hAnsi="Times New Roman"/>
          <w:sz w:val="18"/>
          <w:szCs w:val="18"/>
          <w:color w:val="auto"/>
        </w:rPr>
        <w:t>Level 2 — Other than quoted prices included in Level 1 inputs that are directly or indirectly observable in the marketplace.</w:t>
      </w:r>
    </w:p>
    <w:p>
      <w:pPr>
        <w:spacing w:after="0" w:line="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Level 3 — Unobservable inputs which are supported by little or no market activity.</w:t>
      </w:r>
    </w:p>
    <w:p>
      <w:pPr>
        <w:spacing w:after="0" w:line="15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Accounting guidance also describes three main approaches to measure the fair value of assets and liabilities: (1) market approach; (2) income approach and (3) cost approach. The market approach uses prices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9" w:name="page230"/>
    <w:bookmarkEnd w:id="2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9"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32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Note 21 Fair Value Measurement for additional information.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  Cash, cash equivalents and time deposits</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Cash and cash equivalents represent cash on hand, time deposits and highly-liquid investments placed with banks or other financial institutions, which are unrestricted to withdrawal or use, and which have original maturities of three months or less.</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Time deposits represent time deposits placed with banks in original maturities of three months or more.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time deposits carry fixed interest per annum for the years presented.</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  Short-term investments</w:t>
      </w:r>
    </w:p>
    <w:p>
      <w:pPr>
        <w:spacing w:after="0" w:line="14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Short-term investments include investments in financial instruments with a variable interest rate indexed to performance of underlying assets. In accordance with ASC 825, Financial Instruments, the Group elected the fair value option at the date of initial recognition and carried these investments at fair value. Changes in the fair value are reflected in the consolidated statements of operations and comprehensive (loss)/income as “others, net”. Fair value is estimated based on quoted prices of similar products provided by financial institutions at the end of each reporting period. The Group classifies these inputs as Level 2 fair value measurement.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 Accounts receivable, net</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Accounts receivable are stated at the historical carrying amount net of provision for expected credit losses. The accounts receivable mainly include the receivables due from franchisees.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(k)  Expected credit losses</w:t>
      </w:r>
    </w:p>
    <w:p>
      <w:pPr>
        <w:spacing w:after="0" w:line="14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In 2016, the Financial Accounting Standards Board (“FASB”) issued Accounting Standards Update (ASU) 2016-13, Financial Instruments-Credit Losses (Topic 326): Measurement of Credit Losses on Financial Instruments (“ASC 326”), which requires entities to measure all expected credit losses for financial assets held at the reporting date, including accounts receivable and other receivables, using a current expected credit loss for the model based on historical experience adjusted for judgments about the effects of relevant observable data, including current and future economic conditions periodically. The Group has early adopted this ASC Topic 326 and several associated ASUs in 2021, this adoption of ASC 326 using a modified retrospective approach did not have a material impact on the consolidated financial statements.</w:t>
      </w:r>
    </w:p>
    <w:p>
      <w:pPr>
        <w:spacing w:after="0" w:line="32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Group’s accounts receivable, other receivables included in prepayments, other current assets and other non-current assets are within the scope of ASC 326. The Group has identified the relevant risk characteristics of its customers and the related receivables which includes the size, type of the services or the products the Group provides, or a combination of these characteristics. Receivables with similar risk</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0" w:name="page231"/>
    <w:bookmarkEnd w:id="2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16"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characteristics have been grouped into pools. For each pool, the Group considers the historical credit losses experience, current economic conditions, supportable forecasts of future economic conditions, and any recoveries in assessing the lifetime expected credit losses. Other key factors that influence the expected credit losses analysis include customer demographics, payment terms offered to customers, and industry-specific factors that could impact the Group’s receivables. Additionally, external data and macroeconomic factors are also considered.</w:t>
      </w:r>
    </w:p>
    <w:p>
      <w:pPr>
        <w:spacing w:after="0" w:line="105" w:lineRule="exact"/>
        <w:rPr>
          <w:sz w:val="20"/>
          <w:szCs w:val="20"/>
          <w:color w:val="auto"/>
        </w:rPr>
      </w:pPr>
    </w:p>
    <w:p>
      <w:pPr>
        <w:jc w:val="both"/>
        <w:ind w:left="1260" w:right="419" w:firstLine="360"/>
        <w:spacing w:after="0" w:line="239" w:lineRule="auto"/>
        <w:rPr>
          <w:sz w:val="20"/>
          <w:szCs w:val="20"/>
          <w:color w:val="auto"/>
        </w:rPr>
      </w:pPr>
      <w:r>
        <w:rPr>
          <w:rFonts w:ascii="Times New Roman" w:cs="Times New Roman" w:eastAsia="Times New Roman" w:hAnsi="Times New Roman"/>
          <w:sz w:val="18"/>
          <w:szCs w:val="18"/>
          <w:color w:val="auto"/>
        </w:rPr>
        <w:t>The Group recorded RMB0.9 million, RMB1.7 million and RMB3.6 million expected credit losses in general and administrative expenses for accounts receivable for the years ended December 31, 2022, 2023 and 2024, respectively. The expected credit losses recorded for other receivables included in prepayments and other current assets and other non-current assets for the years ended December 31, 2022, 2023 and 2024 were immaterial.</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  Inventories</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Inventories, consisting of raw materials, packaging, teahouse equipment and other supplies, are stated at the lower of cost and net realizable value. Cost of inventories is determined using the weighted average cost method. Adjustments are recorded to write down the cost of inventories to the estimated net realizable value due to slow-moving merchandise and damaged goods, which is dependent upon factors such as expiration aging, historical and forecasted consumer demand, and market conditions that impact pricing. Once inventory is written-down, a new, lower-cost basis for that inventory is established and subsequent changes in facts and circumstances do not result in the restoration or increase in that newly established cost basis.</w:t>
      </w:r>
    </w:p>
    <w:p>
      <w:pPr>
        <w:spacing w:after="0" w:line="392" w:lineRule="exact"/>
        <w:rPr>
          <w:sz w:val="20"/>
          <w:szCs w:val="20"/>
          <w:color w:val="auto"/>
        </w:rPr>
      </w:pPr>
    </w:p>
    <w:p>
      <w:pPr>
        <w:ind w:left="1640" w:hanging="380"/>
        <w:spacing w:after="0"/>
        <w:tabs>
          <w:tab w:leader="none" w:pos="1640" w:val="left"/>
        </w:tabs>
        <w:numPr>
          <w:ilvl w:val="0"/>
          <w:numId w:val="1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Long-term investments</w:t>
      </w:r>
    </w:p>
    <w:p>
      <w:pPr>
        <w:spacing w:after="0" w:line="227" w:lineRule="exact"/>
        <w:rPr>
          <w:rFonts w:ascii="Times New Roman" w:cs="Times New Roman" w:eastAsia="Times New Roman" w:hAnsi="Times New Roman"/>
          <w:sz w:val="18"/>
          <w:szCs w:val="18"/>
          <w:b w:val="1"/>
          <w:bCs w:val="1"/>
          <w:i w:val="1"/>
          <w:iCs w:val="1"/>
          <w:color w:val="auto"/>
        </w:rPr>
      </w:pPr>
    </w:p>
    <w:p>
      <w:pPr>
        <w:ind w:left="162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Equity investments using the measurement alternative</w:t>
      </w:r>
    </w:p>
    <w:p>
      <w:pPr>
        <w:spacing w:after="0" w:line="16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Group measures long-term equity investments other than equity method investments at fair value through earnings in accordance with ASU 2016-01. For the investments without readily determinable fair values, the Group elected to record these investments at cost, less impairment, plus or minus subsequent adjustments for observable price changes (“measurement alternative”). Under this measurement alternative, changes in the carrying value of the equity investment will be required to be made whenever there are observable price changes in orderly transactions for the identical or similar investment of the same issuer. The Group makes reasonable efforts to identify price changes that are known or that can reasonably be known.</w:t>
      </w:r>
    </w:p>
    <w:p>
      <w:pPr>
        <w:spacing w:after="0" w:line="200" w:lineRule="exact"/>
        <w:rPr>
          <w:sz w:val="20"/>
          <w:szCs w:val="20"/>
          <w:color w:val="auto"/>
        </w:rPr>
      </w:pP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146"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Group applies the equity method to account for equity investments in common stock, according to ASC 323 “Investments — Equity Method and Joint Ventures”, over which it has significant influence but does not own a controlling financial interest, unless the fair value option is elected for an investment.</w:t>
      </w:r>
    </w:p>
    <w:p>
      <w:pPr>
        <w:spacing w:after="0" w:line="10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Under the equity method, the Group’s share of the post-acquisition profits or losses of the equity method investee is recognized in the consolidated statements of operations and comprehensive (loss)/income and its share of post-acquisition movements in accumulated other comprehensive (loss)/income is recognized in other comprehensive (loss)/income.</w:t>
      </w:r>
    </w:p>
    <w:p>
      <w:pPr>
        <w:spacing w:after="0" w:line="11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As of December 31, 2023 and 2024, the Group’s long-term investment primarily included the equity investment in investees. Investment was accounted for using equity method as the Group can exercise significant influence on the investees.</w:t>
      </w:r>
    </w:p>
    <w:p>
      <w:pPr>
        <w:spacing w:after="0" w:line="10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Group assesses these investments for impairment by considering factors including, but not limited to, current economic and market conditions, operating performance of the companies, and other company-specific information. The Group uses a combination of valuation methodologies in determination of the fair</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1" w:name="page232"/>
    <w:bookmarkEnd w:id="2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value, including market and income approaches based on the Group’s best estimate, which is determined by using information including but not limited to the pricing of recent rounds of financing, future cash flow forecasts, liquidity factors and selection of the comparable companies. The fair value determination, particularly for investments in privately-held companies whose revenue model is still unclear, requires significant judgment to determine appropriate estimates and assumptions. Changes in these estimates and assumptions could affect the calculation of the fair value of the investments. If this assessment indicates that an impairment exists, the Group will estimate the fair value of the investment and, if the fair value is less than carrying value, the Group will write down the asset to its fair value and take the corresponding charge to the consolidated statements of operations and comprehensive (loss)/income.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  Property and equipment, net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Property and equipment, net is carried at cost less accumulated depreciation and impairment, if any.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Depreciation is calculated on a straight-line basis over the following estimated useful lives.</w:t>
      </w:r>
    </w:p>
    <w:p>
      <w:pPr>
        <w:sectPr>
          <w:pgSz w:w="11900" w:h="16838" w:orient="portrait"/>
          <w:cols w:equalWidth="0" w:num="1">
            <w:col w:w="9879"/>
          </w:cols>
          <w:pgMar w:left="580" w:top="97" w:right="1440" w:bottom="1440" w:gutter="0" w:footer="0" w:header="0"/>
        </w:sectPr>
      </w:pP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164592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82" w:lineRule="exact"/>
        <w:rPr>
          <w:sz w:val="20"/>
          <w:szCs w:val="20"/>
          <w:color w:val="auto"/>
        </w:rPr>
      </w:pPr>
    </w:p>
    <w:p>
      <w:pPr>
        <w:ind w:left="1620"/>
        <w:spacing w:after="0" w:line="337" w:lineRule="auto"/>
        <w:rPr>
          <w:sz w:val="20"/>
          <w:szCs w:val="20"/>
          <w:color w:val="auto"/>
        </w:rPr>
      </w:pPr>
      <w:r>
        <w:rPr>
          <w:rFonts w:ascii="Times New Roman" w:cs="Times New Roman" w:eastAsia="Times New Roman" w:hAnsi="Times New Roman"/>
          <w:sz w:val="18"/>
          <w:szCs w:val="18"/>
          <w:color w:val="auto"/>
        </w:rPr>
        <w:t>Electronic equipment Teahouse operation equipment Vehicles</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Manufacturing equipment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Property</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ind w:left="8"/>
        <w:spacing w:after="0"/>
        <w:tabs>
          <w:tab w:leader="none" w:pos="1887"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Estimated 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27305</wp:posOffset>
            </wp:positionV>
            <wp:extent cx="296608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ind w:left="108" w:hanging="108"/>
        <w:spacing w:after="0" w:line="205" w:lineRule="auto"/>
        <w:tabs>
          <w:tab w:leader="none" w:pos="108" w:val="left"/>
        </w:tabs>
        <w:numPr>
          <w:ilvl w:val="0"/>
          <w:numId w:val="15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3 years</w:t>
      </w:r>
    </w:p>
    <w:p>
      <w:pPr>
        <w:spacing w:after="0" w:line="1" w:lineRule="exact"/>
        <w:rPr>
          <w:rFonts w:ascii="Times New Roman" w:cs="Times New Roman" w:eastAsia="Times New Roman" w:hAnsi="Times New Roman"/>
          <w:sz w:val="36"/>
          <w:szCs w:val="36"/>
          <w:color w:val="auto"/>
          <w:vertAlign w:val="superscript"/>
        </w:rPr>
      </w:pPr>
    </w:p>
    <w:p>
      <w:pPr>
        <w:ind w:left="108" w:hanging="108"/>
        <w:spacing w:after="0" w:line="184" w:lineRule="auto"/>
        <w:tabs>
          <w:tab w:leader="none" w:pos="108" w:val="left"/>
        </w:tabs>
        <w:numPr>
          <w:ilvl w:val="0"/>
          <w:numId w:val="15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3 years</w:t>
      </w:r>
    </w:p>
    <w:p>
      <w:pPr>
        <w:ind w:left="108" w:hanging="108"/>
        <w:spacing w:after="0" w:line="184" w:lineRule="auto"/>
        <w:tabs>
          <w:tab w:leader="none" w:pos="108" w:val="left"/>
        </w:tabs>
        <w:numPr>
          <w:ilvl w:val="0"/>
          <w:numId w:val="15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4 years</w:t>
      </w:r>
    </w:p>
    <w:p>
      <w:pPr>
        <w:ind w:left="108" w:hanging="108"/>
        <w:spacing w:after="0" w:line="184" w:lineRule="auto"/>
        <w:tabs>
          <w:tab w:leader="none" w:pos="108" w:val="left"/>
        </w:tabs>
        <w:numPr>
          <w:ilvl w:val="0"/>
          <w:numId w:val="15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10 years</w:t>
      </w:r>
    </w:p>
    <w:p>
      <w:pPr>
        <w:ind w:left="108" w:hanging="108"/>
        <w:spacing w:after="0" w:line="181" w:lineRule="auto"/>
        <w:tabs>
          <w:tab w:leader="none" w:pos="108" w:val="left"/>
        </w:tabs>
        <w:numPr>
          <w:ilvl w:val="0"/>
          <w:numId w:val="15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20 years</w:t>
      </w:r>
    </w:p>
    <w:p>
      <w:pPr>
        <w:ind w:left="208" w:hanging="208"/>
        <w:spacing w:after="0" w:line="258" w:lineRule="auto"/>
        <w:tabs>
          <w:tab w:leader="none" w:pos="1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Shorter of the term of the lease or the estimated useful lives of the assets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41" w:lineRule="exact"/>
        <w:rPr>
          <w:sz w:val="20"/>
          <w:szCs w:val="20"/>
          <w:color w:val="auto"/>
        </w:rPr>
      </w:pPr>
    </w:p>
    <w:p>
      <w:pPr>
        <w:sectPr>
          <w:pgSz w:w="11900" w:h="16838" w:orient="portrait"/>
          <w:cols w:equalWidth="0" w:num="3">
            <w:col w:w="3920" w:space="292"/>
            <w:col w:w="4728" w:space="160"/>
            <w:col w:w="779"/>
          </w:cols>
          <w:pgMar w:left="580" w:top="97" w:right="1440" w:bottom="1440" w:gutter="0" w:footer="0" w:header="0"/>
          <w:type w:val="continuous"/>
        </w:sect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Repairs and maintenance costs are charged to expenses as incurred, whereas the costs of betterments that extend the useful life of property and equipment are capitalized as additions to the related assets. The Group recognizes the gain or loss on the disposal of property and equipment in “others, net” in the consolidated statements of operations and comprehensive (loss)/income.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  Leases</w:t>
      </w:r>
    </w:p>
    <w:p>
      <w:pPr>
        <w:spacing w:after="0" w:line="162"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Group accounts for leases in accordance with ASU 2016-02, Leases (ASC Topic 842), which requires lessees to recognize leases on the consolidated balance sheets in the presentation of operating lease right-of- use (“ROU”) assets and operating lease liabilities, and disclose key information about leasing arrangements.</w:t>
      </w:r>
    </w:p>
    <w:p>
      <w:pPr>
        <w:spacing w:after="0" w:line="33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Group determines if a contract contains a lease based on whether it has the right to obtain substantially all of the economic benefits from the use of an identified asset which the Group does not own and whether it has the right to direct the use of an identified asset in exchange for consideration. All of the Group’s leases are operating leases. Operating lease assets are included within right-of-use assets, net and the corresponding lease liabilities are included within operating lease liabilities, current and operating lease liabilities, non-current of the consolidated balance sheets.</w:t>
      </w:r>
    </w:p>
    <w:p>
      <w:pPr>
        <w:spacing w:after="0" w:line="106"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Group has elected not to present short-term leases on the consolidated balance sheets as these leases have a lease term of 12 months or less at commencement date of the lease and do not include options to purchase or renew that the Group is reasonably certain to exercise. The Group recognizes lease expenses for such short-term leases on a straight-line basis over the lease term. All other lease assets and lease liabilities are recognized based on the present value of lease payments over the lease term at commencement date. Because most of the Group’s leases do not provide an implicit rate of return, the Group uses the Group’s incremental borrowing rate based on the credit quality of the Group and by comparing interest rates available in the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2" w:name="page233"/>
    <w:bookmarkEnd w:id="2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market for similar borrowings, and adjusting this amount based on the impact of collateral over the term of each lease at the lease commencement date.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  Business combination</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Business combinations are recorded using the acquisition method of accounting, and the cost of an acquisition is measured as the aggregate of the fair values at the date of exchange of the assets given, liabilities incurred, and equity instruments issued as well as the contingent considerations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excess of the (i) the total of consideration paid, fair value of the non-controlling interests and acquisition date fair value of any previously held equity interest in the subsidiary acquired over (ii) the fair value of the identifiable net assets of the subsidiary acquired is recorded as goodwill. If the consideration of acquisition is less than the fair value of the net assets of the subsidiary acquired, the difference is recognized directly in the consolidated statements of operations and comprehensive (loss)/income.</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  Goodwill</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identifiable assets and liabilities acquired as a result of the business combination. The Group performs quantitative goodwill impairment test annually or more frequently when an event occurs or circumstances change that indicate the carrying value may not be recoverable. A goodwill impairment loss is recognized for the amount that the carrying amount of a reporting unit, including goodwill, exceeds its fair value, limited to the total amount of goodwill allocated to that reporting unit. There was no impairment loss of goodwill recognized for the year ended December 31, 2024.</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  Treasury stock</w:t>
      </w:r>
    </w:p>
    <w:p>
      <w:pPr>
        <w:spacing w:after="0" w:line="14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Company accounts for repurchased ordinary shares under the cost method and includes such treasury stock as a component of the shareholders’ equity. At retirement of the treasury shares, the ordinary shares account is charged only for the aggregate par value of the shares. An excess of purchase price over par value is allocated to additional paid-in-capital first with any remaining excess charged entirely to retained earnings. Repurchased shares were reserved for the share settlement upon share option exercises. The cost of treasury stock reissued is determined using the weighted average method. Gains on reissuances of treasury shares are credited to additional paid-in-capital; and losses on reissuances may be charged to additional paid-in-capital to the extent that previous net gains from retirements of the same class of shares are included in additional paid-in-capital, otherwise they are charged to retained earnings.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  Revenue recognition</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accordance with ASC 606, Revenue from Contracts with Customers, revenue is recognized when the Group satisfies a performance obligation by transferring a promised good or service to a customer, for an amount that reflects the consideration the Group expects to be entitled to in exchange for these goods or services. Depending on the terms of the contract and the laws that apply to the contract, control of the goods or services may be transferred over time or at a point in time. Control of the goods or services is transferred over time if the Group’s performance:</w:t>
      </w:r>
    </w:p>
    <w:p>
      <w:pPr>
        <w:spacing w:after="0" w:line="79" w:lineRule="exact"/>
        <w:rPr>
          <w:sz w:val="20"/>
          <w:szCs w:val="20"/>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all of the benefits received and consumed simultaneously by the customer;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and enhances an asset that the customer controls as the Group performs;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3" w:name="page234"/>
    <w:bookmarkEnd w:id="2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02" w:lineRule="exact"/>
        <w:rPr>
          <w:sz w:val="20"/>
          <w:szCs w:val="20"/>
          <w:color w:val="auto"/>
        </w:rPr>
      </w:pPr>
    </w:p>
    <w:p>
      <w:pPr>
        <w:ind w:left="1800" w:right="419" w:hanging="180"/>
        <w:spacing w:after="0" w:line="282"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create an asset with an alternative use to the Group and the Group has an enforceable right to payment for performance completed to date.</w:t>
      </w:r>
    </w:p>
    <w:p>
      <w:pPr>
        <w:spacing w:after="0" w:line="81"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If a customer pays consideration or the Group has a right to an amount of consideration that is unconditional, before the Group transfers goods or services to the customer, the Group presents the advance payment in contract liabilities, current and contract liabilities, non-current in the consolidated balance sheets when the payment is received or receivable. A contract liability is the Group’s obligation to transfer goods or services to a customer for which the Group has received consideration (or an amount of consideration is due) from the customer.</w:t>
      </w:r>
    </w:p>
    <w:p>
      <w:pPr>
        <w:spacing w:after="0" w:line="11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accordance with ASC 606, the Group evaluates whether it is appropriate to record the gross amount of product sales and related costs or the net amount earned as commissions. When the Group obtains control of the specified goods or services before they are transferred to the customers, such that the Group is a principal, the revenues are recognized at the gross amount of consideration to which it expects to be entitled in exchange for the specified goods or services transferred. When the Group is an agent and its obligation is to arrange for the provision of the specified goods or services by another party, the revenues are recognized at the net amount for the amount of commission.</w:t>
      </w:r>
    </w:p>
    <w:p>
      <w:pPr>
        <w:spacing w:after="0" w:line="11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When a contract with a customer includes multiple performance obligations, transaction price is allocated to the performance obligations on a relative standalone selling price basis.</w:t>
      </w:r>
    </w:p>
    <w:p>
      <w:pPr>
        <w:spacing w:after="0" w:line="95"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Group principally generates its revenue from the following major sources: 1) revenue from franchised teahouses, and 2) revenue from company-owned teahouses. Below is a discussion of how the revenues are earned and the corresponding revenue recognition policies.</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1)  Revenue from franchised teahouses</w:t>
      </w:r>
    </w:p>
    <w:p>
      <w:pPr>
        <w:spacing w:after="0" w:line="162"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The revenue from franchised teahouses principally consists of 1) sales of products to franchisees and</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 franchising and other services. Further details are as follows:</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sales of products to franchisees</w:t>
      </w:r>
    </w:p>
    <w:p>
      <w:pPr>
        <w:spacing w:after="0" w:line="16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Revenue from sales of products to franchisees primarily comprises of sales of raw materials, packaging, teahouse equipment and other supplies to franchisees. Transfer of those products is considered a separate performance obligation distinct from the franchise agreements as the franchisees can benefit from transfer of those products on its own. The Group considers itself the principal in this arrangement as the Group has the ability to control the promised products before transferring to the franchisees. Accordingly, the related revenue is presented on a gross basis on the consolidated statements of operations and comprehensive (loss)/income. Rebates to its franchisees according to the Group’s incentive policies are recognized as a reduction to revenue.</w:t>
      </w:r>
    </w:p>
    <w:p>
      <w:pPr>
        <w:spacing w:after="0" w:line="328"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Revenue from sales of products to franchisees is recognized at the point in time when the control over those products is transferred to the franchisee, which is when the franchisee receives and accepts the products, and related expenses are recognized as incurred. In general, the Group does not have any obligation or past practices to accept any return of unsold products, except for rare cases such as a latent defect subject to product recall.</w:t>
      </w:r>
    </w:p>
    <w:p>
      <w:pPr>
        <w:spacing w:after="0" w:line="200" w:lineRule="exact"/>
        <w:rPr>
          <w:sz w:val="20"/>
          <w:szCs w:val="20"/>
          <w:color w:val="auto"/>
        </w:rPr>
      </w:pPr>
    </w:p>
    <w:p>
      <w:pPr>
        <w:spacing w:after="0" w:line="2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Franchising and other services</w:t>
      </w:r>
    </w:p>
    <w:p>
      <w:pPr>
        <w:spacing w:after="0" w:line="160"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Under the franchise agreements, the franchisees are required to pay the Group continuing royalty fees based on a percentage of the applicable teahouses’ sales/profits in exchange for the license of the intellectual property associated with the franchise right and provision of administrative support services by the Group. The continuing royalty fees are generally billed and paid on a monthly basis. Typically the franchisees are also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4" w:name="page235"/>
    <w:bookmarkEnd w:id="2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required to pay a fixed non-refundable upfront franchise fee, primarily in exchange for pre-opening support services, and a fixed annual brand license fee, both of which are billed and paid when a franchise agreement becomes effective.</w:t>
      </w:r>
    </w:p>
    <w:p>
      <w:pPr>
        <w:spacing w:after="0" w:line="10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Under the franchise model, the franchise teahouse is operated by the franchisee in accordance with the Company’s operating standards and continuing royalty fees are typically billed and paid monthly based on a fixed percentage of the monthly reported sales of the franchised teahouse. As an alternative, some franchisees may choose for the Group to operate the teahouse on a day-to -day basis, in which case continuing royalty fees are billed and paid monthly and are based on a fixed percentage of the reported monthly profit of the franchise teahouse. Continuing royalty are recognized as the related sales and profits occur.</w:t>
      </w:r>
    </w:p>
    <w:p>
      <w:pPr>
        <w:spacing w:after="0" w:line="325"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franchise agreements are generally for a one-year term, and are renewable annually by the franchisees. The Group has determined that the pre-opening support services are highly interrelated with the franchise right and are therefore not distinct from providing the ongoing access to the franchise license. The Group has also determined that the upfront franchise fees give rise to a material right as the Group grants the franchisees a right to renew the franchise agreements by not having to pay a similar upfront fee upon renewal. Accordingly, the upfront franchise fees are recognized as revenue on a straight- line basis over the expected franchise period, typically estimated as 5 years. The annual brand license fees are recognized as revenue on a straight-line basis over the stated franchise period. Continuing royalty fees are recognized as revenue when the related sales or profits occur.</w:t>
      </w:r>
    </w:p>
    <w:p>
      <w:pPr>
        <w:spacing w:after="0" w:line="1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2)  Revenue from company-owned teahouses</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Revenue from company-owned teahouses is recognized when the control of the product is transferred to the customer. Revenue from company-owned teahouses is reported net of value added tax, discounts and returns, if any.</w:t>
      </w:r>
    </w:p>
    <w:p>
      <w:pPr>
        <w:spacing w:after="0" w:line="10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From time to time, the Group offers discounts to customers in the form of issuing coupons that can be applied in future purchases. Those coupons are not issued as part of an existing contract and therefore do not give rise to a separate performance obligation. The coupons are accounted for as a reduction of revenue when they are used by the customers.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3)  Membership programme</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Group operates a customer loyalty program under which customers accumulate credits from purchases made which entitle them to discounted products in future. The award credits expire one year after issuance. The Group accounts for the award credits as a performance obligation separate from the products transferred in the initial sale. The Group estimates the stand-alone selling price of the award credits granted based on the discount that the customer would obtain when redeeming the credits, adjusted for the likelihood that the credits will be redeemed. Transaction price is allocated to the award credits granted and the products transferred in the initial sale on a relative stand-alone selling price basis. Transaction price allocated to the award credits granted is initially recognized as contract liabilities, and subsequently recognized as revenue when the credits are redeemed or expire, whichever is earlier. The contract liabilities balances for customer loyalty program were not material as of December 31, 2023 and 2024.</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  Costs of materials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Costs of materials consist primarily of materials and ingredients for resale to franchised teahouses and the production of tea drinks, packaging, equipment and other materials.</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  Company-owned teahouses operating costs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Company-owned teahouses operating costs consist primarily of lease expenses for the company-owned teahouses, payroll costs for the front employees in the company-owned teahouses, commission and delivery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5" w:name="page236"/>
    <w:bookmarkEnd w:id="2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fees for third-party platforms, deprecation expenses and utility costs. The commission and delivery costs were RMB7.7 million, RMB20.1 million and RMB65.0 million for the years ended December 31, 2022, 2023 and 2024, respectively.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  Storage and logistics costs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Storage and logistics costs consist primarily of cost for the inventory storage and logistics costs for shipping the inventory to the franchised teahouses and company-owned teahouses. The Group incurred storage and logistics costs of RMB12.5 million, RMB99.9 million and RMB243.8 million for the years ended December 31, 2022, 2023 and 2024, respectively.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  Other operating costs</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Other operating costs consist primarily of the other costs except for those costs mentioned in note 2(t), note 2(u) and note 2(v), including payroll, rental and utilities costs for personnel associated with primary business functions, excluding those in company-owned teahouses, and tax surcharges.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(x)  Sales and marketing expenses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Sales and marketing expenses consist primarily of promotion and advertising expenses, staff costs including share-based compensation and other daily expenses which are related to the selling and marketing departments. Advertising expenses are expensed as incurred and were RMB39.9 million, RMB140.4 million and RMB781.2 million for the years ended December 31, 2022, 2023 and 2024, respectively.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  General and administrative expenses</w:t>
      </w:r>
    </w:p>
    <w:p>
      <w:pPr>
        <w:spacing w:after="0" w:line="162"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General and administrative expenses consist of salaries and benefits including share-based compensation expenses and other expenses which are related to the general corporate functions, rental and general expenses associated with these functions, professional service fees and research and development expenses.</w:t>
      </w:r>
    </w:p>
    <w:p>
      <w:pPr>
        <w:spacing w:after="0" w:line="323"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Research and development expenses are included in general and administrative expenses, which are mainly salaries and benefits expenses and other expenses related to product development department. The Group charged RMB4.0 million, RMB11.5 million and RMB193.5 million of research and development costs to expense for the years ended December 31, 2022, 2023 and 2024, respectively.</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(z)  Government grants</w:t>
      </w:r>
    </w:p>
    <w:p>
      <w:pPr>
        <w:spacing w:after="0" w:line="14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government grants mainly represent subsidies and benefits from local governments in China (usually subject to assessment and changes in policies, and therefore are not recurring in nature), which are primarily related to our income, and are awarded as a form of recognition for our contributions to local economic growth in accordance with relevant supportive policies. Government grants of RMB3.7 million, RMB38.4 million and RMB128.4 million were recorded in the consolidated statements of operations and comprehensive (loss)/income in “others, net” for the years ended December 31, 2022, 2023 and 2024, respectively.</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(aa)  Share-based compensation</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Share-based compensation expenses arise from share-based awards, including share options for the purchase of restricted shares. The Company grants options to its employees, directors and consultants with performance conditions and service conditions.</w:t>
      </w:r>
    </w:p>
    <w:p>
      <w:pPr>
        <w:spacing w:after="0" w:line="102"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The Group determines the classification of share-based awards based on the natures of such awards. It is classified as a liability award when any of the following conditions are met: i) an award with conditions other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6" w:name="page237"/>
    <w:bookmarkEnd w:id="2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than a market, performance, or service condition; ii) an award that meets certain criteria of ASC 480 in distinguishing liabilities from equity; iii) a share award with a repurchase feature that permits an employee to avoid the risks and rewards that are normally associated with stock ownership or it is probable that the employer would prevent the employee from bearing the risks and rewards that are normally associated with stock ownership; iv) an option or similar instrument that could require the employer to pay cash or other assets to an employee; v) an option or similar instrument where the underlying stock is classified as a liability.</w:t>
      </w:r>
    </w:p>
    <w:p>
      <w:pPr>
        <w:spacing w:after="0" w:line="352"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For share options granted with service conditions and the occurrence of an initial public offering (“IPO”) as a performance condition, cumulative share-based compensation costs for the awards that have satisfied the service condition will be recorded upon the completion of the IPO based on their grant date fair value, using a graded-vesting method. For share options granted with additional repurchase features and determined to be liability-classified awards, the fair value of the options are measured at grant date and are remeasured to an updated fair value at each reporting date until the awards are settled. The related share-based compensation costs are recognized over the requisite service period and trued up each reporting date for changes in fair value pro-rated for the portion of the requisite service period rendered.</w:t>
      </w:r>
    </w:p>
    <w:p>
      <w:pPr>
        <w:spacing w:after="0" w:line="116"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The Group, with the assistance of an independent third-party valuation firm, determines the fair value of share-based awards granted to employees and non-employees, if applicable. The determination of the fair value is affected by the fair value of ordinary shares. The fair value of the ordinary shares was assessed using the income approach/discounted cash flow method, with a discount for lack of marketability given that the shares underlying the awards were not publicly traded at the time of grant. This assessment requires complex and subjective judgments regarding the Group’s projected financial and operating results, its unique business risks, the liquidity of its ordinary shares and its operating history and prospects at the time the grants were made. The fair value of share options is estimated on the grant date using the binomial option pricing model. The assumptions used in share-based compensation expense represent management’s best estimates, but these estimates involve inherent uncertainties and application of management judgment.</w:t>
      </w:r>
    </w:p>
    <w:p>
      <w:pPr>
        <w:spacing w:after="0" w:line="126"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Cancellation of an award accompanied by the concurrent grant of a replacement award is accounted for as a modification (that is, an exchange of the original award for a new award), unless the award’s fair value, vesting conditions, and classification as an equity instrument are the same as immediately before and after the change. The compensation costs associated with the modified awards are recognized if the new vesting condition is achieved. Total recognized compensation cost for the awards is at least equal to the fair value of the awards at the grant date unless at the date of the modification the performance or service conditions of the original awards are not expected to be satisfied. The incremental compensation cost is measured as the excess of the fair value of the replacement award over the fair value of the cancelled award at the cancellation date.</w:t>
      </w:r>
    </w:p>
    <w:p>
      <w:pPr>
        <w:spacing w:after="0" w:line="200" w:lineRule="exact"/>
        <w:rPr>
          <w:sz w:val="20"/>
          <w:szCs w:val="20"/>
          <w:color w:val="auto"/>
        </w:rPr>
      </w:pP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(bb)  Employee benefits</w:t>
      </w:r>
    </w:p>
    <w:p>
      <w:pPr>
        <w:spacing w:after="0" w:line="14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Full-time employees of the Group, primarily in the PRC and Malaysia, participate in the local government mandated defined contribution plans, pursuant to which certain pension benefits, medical care, employee housing fund and other welfare benefits are provided to the employees. Labour related regulations of these countries, require that the local subsidiaries make contributions to the government for these benefits based on certain percentages of the employees’ salaries, up to a maximum amount specified by local governments. The Group has no legal obligation for the benefits beyond the contributions made. Employee social security and welfare benefits included as expenses in the consolidated statements of operations and comprehensive (loss)/​income amounted to RMB25.0 million, RMB59.3 million and RMB159.1 million for the years ended December 31, 2022, 2023 and 2024, respectively.</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7" w:name="page238"/>
    <w:bookmarkEnd w:id="2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(cc)  Taxation</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Group follows the liability method of accounting for income taxes in accordance with ASC 740, Income Taxes.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Group records a valuation allowance to offset deferred tax assets if based on the weight of available evidence, it is more-likely-than-not that some portion, or all, of the deferred tax assets will not be realized. The effect on deferred taxes of a change in tax rate is recognized in tax expense in the period that includes the enactment date of the change in tax rate.</w:t>
      </w:r>
    </w:p>
    <w:p>
      <w:pPr>
        <w:spacing w:after="0" w:line="337"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Group accounted for uncertainties in income taxes in accordance with ASC 740. Interest and penalties related to unrecognized tax benefit recognized in accordance with ASC 740 are classified in the consolidated statements of operations and comprehensive (loss)/income as income tax benefit/(expense).</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Value added Tax (“VAT”)</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Group is subject to VAT on revenues. The sales of products are subject to VAT rate of 9% or 13% depending on the products type, and the revenue generated from services are subject to VAT rate of 6% or 1% depending on whether the entity is a general taxpayer. The Group records revenue net of VAT. Entities that are VAT general taxpayers are allowed to offset qualified input VAT, paid to suppliers against their output VAT liabilities.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(dd)  Comprehensive (loss)/income</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Comprehensive (loss)/income is defined to include all changes in equity/(deficit) of the Group during a period arising from transactions and other events and circumstances excluding transactions resulting from investments by shareholders and distributions to shareholders. Comprehensive (loss)/income includes net (loss)/income and foreign currency translation adjustments of the Group.</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(ee)  Net (loss)/income per share</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accordance with ASC 260, Earnings per Share, basic (loss)/income per share is computed by dividing net (loss)/income attributable to ordinary shareholders by the weighted average number of ordinary shares outstanding during the period using the two-class method. The net (loss)/income will be adjusted by deducting (1) dividends declared in the period on preferred shares (if any), (2) cumulative dividends on preferred shares (whether or not declared) and (3) the accretion on preferred shares to redemption value. Under the two-class method, net (loss)/income is allocated between ordinary shares and other participating securities based on their participating rights. Diluted (loss)/income per share is calculated by dividing net (loss)/income attributable to ordinary shareholders as adjusted for the effect of dilutive ordinary equivalent shares, if any, by the weighted average number of ordinary and dilutive ordinary equivalent shares outstanding during the period. Ordinary equivalent shares consist of shares issuable upon the conversion of the convertible redeemable preferred shares using the if-converted method, and ordinary shares issuable upon the exercise of outstanding share options (using the treasury stock method). Ordinary equivalent shares are excluded from the computation of diluted loss per share if their effect would be anti-dilutive.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(ff)  Statutory reserves</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Company’s subsidiaries established in the PRC are required to make appropriations to certain non-distributable reserve funds. Pursuant to the laws applicable to China’s Foreign Invested Enterprises (“FIE”),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8" w:name="page239"/>
    <w:bookmarkEnd w:id="2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9"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Company’s subsidiaries which are registered as a wholly foreign-owned enterprise have to make appropriations from their annual after-tax profits (as determined under generally accepted accounting principles in the PRC (“PRC GAAP”)) to reserve funds including the general reserve fund, enterprise expansion fund and staff bonus and welfare fund. The appropriation to the general reserve fund must be at least 10% of the annual after-tax profits calculated in accordance with PRC GAAP. Appropriation is not required if the general reserve fund has reached 50% of the registered capital of the company. Appropriations to the enterprise expansion fund and staff bonus and welfare fund are made at the respective company’s discretion.</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(gg)  Related parties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Group or exercise significant influence over the other party in making financial and operating decisions. Parties are also considered to be related if they are subject to common control or have significant influence, such as a family member or relative, shareholder, or a related corporation.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(hh)  Segment reporting</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accordance with ASC 280, Segment Reporting, operating segments are defined as components of an enterprise about which separate financial information is available that is evaluated regularly by the chief operating decision maker (“CODM”), or decision-making group, in deciding how to allocate resources and in assessing performance. Based on the criteria established by ASC 280, the Group’s CODM has been identified as the founder, chairman of the board of directors and chief executive officer of the Group, who reviews consolidated results of the Group when making decisions about allocating resources and assessing performance.</w:t>
      </w:r>
    </w:p>
    <w:p>
      <w:pPr>
        <w:spacing w:after="0" w:line="32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Group’s CODM reviews the consolidated results when making decisions about allocating resources and assessing performance of the Group as a whole and hence, the Group operates and manages its business as a single operating and reportable segment. The Group’s CODM uses consolidated net (loss)/income as the measure of profit or loss to monitor budget versus actual results and decide where to allocate and invest additional resources to continue growth. Significant segment expenses and other segment items are consistent with the financial information included on the consolidated statements of operations and comprehensive (loss)/income. The measure of segment assets is reported on the consolidated balance sheet as total assets. As the Group’s long-lived assets are substantially all located in the PRC and substantially all the Group’s revenues are derived from within the PRC, no geographical information are presented.</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(ii)  Recently issued accounting pronouncements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 — Contracts in Entity’s Own Equity (Subtopic 815-40), Accounting for Convertible Instruments and Contracts in an Entity’s Own Equity. ASU 2020-06 simplifies the accounting for convertible instruments by reducing the number of accounting models available for convertible debt instruments. This guidance also eliminates the treasury stock method to calculate diluted earnings per share for convertible instruments and requires the use of the if-converted method. The amendments in this Update are effective for public business entities that meet the definition of a Securities and Exchange Commission (SEC) filer, excluding entities eligible to be smaller reporting companies as defined by the SEC, for fiscal years beginning after December 15, 2021, including interim periods within those fiscal years. For all other entities, the amendments are effective for fiscal years beginning after December 15, 2023, including interim periods within those fiscal years. Early adoption is permitted. As the Company was an “emerging growth company” prior to January 1, 2024, and elected to apply for the new and revised accounting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9" w:name="page240"/>
    <w:bookmarkEnd w:id="2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22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standards at the effective date for a private company, the Group adopted the new standard on January 1, 2024 with no impact on its consolidated financial statements.</w:t>
      </w:r>
    </w:p>
    <w:p>
      <w:pPr>
        <w:spacing w:after="0" w:line="94"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 Improvements to Reportable Segment Disclosures. The amendments in this Update improve reportable segment disclosure requirements, primarily through enhanced disclosures about significant segment expenses. The amendments in this Update are effective for fiscal years beginning after December 15, 2023, and interim periods within fiscal years beginning after December 15, 2024. Early adoption is permitted. A public entity should apply the amendments in this Update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Group adopted ASU 2023-07 in the consolidated financial statements for the year ended December 31, 2024. The Group concluded that it has no material impact on the consolidated financial statements.</w:t>
      </w:r>
    </w:p>
    <w:p>
      <w:pPr>
        <w:spacing w:after="0" w:line="127"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applies to all entities subject to income taxes. ASU 2023-09 requires disaggregated information about a reporting entity’s effective tax rate reconciliation as well as information on income taxes paid. For public business entities, ASU 2023-09 will be effective for annual periods beginning after December 15, 2024. For entities other than public business entities, the requirements will be effective for annual periods beginning after December 15, 2025. The guidance will be applied on a prospective basis with the option to apply the standard retrospectively. Early adoption is permitted. The Group is currently evaluating the impact of these accounting standard updates on its consolidated financial statements.</w:t>
      </w:r>
    </w:p>
    <w:p>
      <w:pPr>
        <w:spacing w:after="0" w:line="111"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All other newly issued accounting pronouncements but not yet effective have been deemed either immaterial or not applicable.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 CONCENTRATION AND RISKS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  Foreign currency exchange rate risk</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Group’s operating transactions are mainly denominated in RMB. RMB is not freely convertible into foreign currencies. The value of the RMB is subject to changes by the central government policies and to international economic and political developments. In the PRC, certain foreign exchange transactions are required by law to be transacted only through authorized financial institutions at exchange rates set by the People’s Bank of China (the “PBOC”). Remittances in currencies other than RMB by the Group in the PRC must be processed through PBOC or other PRC foreign exchange regulatory bodies which require certain supporting documents in order to effect the remittances. As of December 31, 2023 and 2024, the Group’s cash and cash equivalents, restricted cash and time deposits denominated in RMB were RMB1,832.3 million and RMB4,708.8 million, respectively, accounting for 75.6% and 96.7% of the Group’s total cash and cash equivalents, restricted cash and time deposit.</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  Concentration of credit risk</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Group’s credit risk arises from cash and cash equivalents, restricted cash, time deposits, short-term investments, other receivables included in prepayments and other current assets, accounts receivable and amounts due from related parties. The carrying amounts of these financial instruments represent the maximum amount of loss due to credit risk. As of December 31, 2023 and 2024, the majority of the Group’s cash and cash equivalents, restricted cash and time deposits were held by major financial institutions located in the PRC, which the management believes are of high credit quality. Accounts receivable are typically unsecured and are mainly derived from the ordinary course of business in the PRC and overseas. The risk with respect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0" w:name="page241"/>
    <w:bookmarkEnd w:id="2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 CONCENTRATION AND RISKS (continued)</w:t>
      </w:r>
    </w:p>
    <w:p>
      <w:pPr>
        <w:spacing w:after="0" w:line="229" w:lineRule="exact"/>
        <w:rPr>
          <w:sz w:val="20"/>
          <w:szCs w:val="20"/>
          <w:color w:val="auto"/>
        </w:rPr>
      </w:pPr>
    </w:p>
    <w:p>
      <w:pPr>
        <w:jc w:val="both"/>
        <w:ind w:left="1260" w:right="1260"/>
        <w:spacing w:after="0" w:line="282" w:lineRule="auto"/>
        <w:rPr>
          <w:sz w:val="20"/>
          <w:szCs w:val="20"/>
          <w:color w:val="auto"/>
        </w:rPr>
      </w:pPr>
      <w:r>
        <w:rPr>
          <w:rFonts w:ascii="Times New Roman" w:cs="Times New Roman" w:eastAsia="Times New Roman" w:hAnsi="Times New Roman"/>
          <w:sz w:val="18"/>
          <w:szCs w:val="18"/>
          <w:color w:val="auto"/>
        </w:rPr>
        <w:t>these financial instruments is mitigated by credit evaluations the Group performs on its customers and its ongoing monitoring processes of outstanding balances.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  Concentration of customers and suppliers</w:t>
      </w:r>
    </w:p>
    <w:p>
      <w:pPr>
        <w:spacing w:after="0" w:line="162" w:lineRule="exact"/>
        <w:rPr>
          <w:sz w:val="20"/>
          <w:szCs w:val="20"/>
          <w:color w:val="auto"/>
        </w:rPr>
      </w:pPr>
    </w:p>
    <w:p>
      <w:pPr>
        <w:jc w:val="both"/>
        <w:ind w:left="1260" w:right="1260" w:firstLine="360"/>
        <w:spacing w:after="0" w:line="266" w:lineRule="auto"/>
        <w:rPr>
          <w:sz w:val="20"/>
          <w:szCs w:val="20"/>
          <w:color w:val="auto"/>
        </w:rPr>
      </w:pPr>
      <w:r>
        <w:rPr>
          <w:rFonts w:ascii="Times New Roman" w:cs="Times New Roman" w:eastAsia="Times New Roman" w:hAnsi="Times New Roman"/>
          <w:sz w:val="18"/>
          <w:szCs w:val="18"/>
          <w:color w:val="auto"/>
        </w:rPr>
        <w:t>There were no customer accounted for greater than 10% of the Group’s total revenues for the years ended December 31, 2022, 2023 and 2024. There was one and no customer with a receivable balance exceeding 10% of the total accounts receivable balance as of December 31, 2023 and 2024, respectively.</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200"/>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0" w:type="dxa"/>
            <w:vAlign w:val="bottom"/>
          </w:tcPr>
          <w:p>
            <w:pPr>
              <w:ind w:left="2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w:t>
            </w:r>
          </w:p>
        </w:tc>
      </w:tr>
      <w:tr>
        <w:trPr>
          <w:trHeight w:val="183"/>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3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Accounts receivable, net</w:t>
            </w:r>
          </w:p>
        </w:tc>
        <w:tc>
          <w:tcPr>
            <w:tcW w:w="2320" w:type="dxa"/>
            <w:vAlign w:val="bottom"/>
            <w:tcBorders>
              <w:top w:val="single" w:sz="8" w:color="CCEEFF"/>
            </w:tcBorders>
            <w:gridSpan w:val="2"/>
            <w:shd w:val="clear" w:color="auto" w:fill="CCEEFF"/>
          </w:tcPr>
          <w:p>
            <w:pPr>
              <w:ind w:left="214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auto"/>
            </w:tcBorders>
            <w:shd w:val="clear" w:color="auto" w:fill="CCEEFF"/>
          </w:tcPr>
          <w:p>
            <w:pPr>
              <w:jc w:val="right"/>
              <w:ind w:right="39"/>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auto"/>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40" w:type="dxa"/>
            <w:vAlign w:val="bottom"/>
            <w:tcBorders>
              <w:left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A</w:t>
            </w:r>
          </w:p>
        </w:tc>
        <w:tc>
          <w:tcPr>
            <w:tcW w:w="232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 ​</w:t>
            </w:r>
          </w:p>
        </w:tc>
        <w:tc>
          <w:tcPr>
            <w:tcW w:w="5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-287655</wp:posOffset>
            </wp:positionV>
            <wp:extent cx="443166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74" w:lineRule="exact"/>
        <w:rPr>
          <w:sz w:val="20"/>
          <w:szCs w:val="20"/>
          <w:color w:val="auto"/>
        </w:rPr>
      </w:pPr>
    </w:p>
    <w:p>
      <w:pPr>
        <w:jc w:val="both"/>
        <w:ind w:left="1260" w:right="1260" w:firstLine="360"/>
        <w:spacing w:after="0" w:line="282" w:lineRule="auto"/>
        <w:rPr>
          <w:sz w:val="20"/>
          <w:szCs w:val="20"/>
          <w:color w:val="auto"/>
        </w:rPr>
      </w:pPr>
      <w:r>
        <w:rPr>
          <w:rFonts w:ascii="Times New Roman" w:cs="Times New Roman" w:eastAsia="Times New Roman" w:hAnsi="Times New Roman"/>
          <w:sz w:val="18"/>
          <w:szCs w:val="18"/>
          <w:color w:val="auto"/>
        </w:rPr>
        <w:t>There was one, one and two suppliers providing raw materials and packaging who exceeded 10% of total purchases for the years ended December 31, 2022, 2023 and 2024, respectively.</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00"/>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 ​</w:t>
            </w:r>
          </w:p>
        </w:tc>
        <w:tc>
          <w:tcPr>
            <w:tcW w:w="2180" w:type="dxa"/>
            <w:vAlign w:val="bottom"/>
            <w:gridSpan w:val="1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 ​</w:t>
            </w:r>
          </w:p>
        </w:tc>
        <w:tc>
          <w:tcPr>
            <w:tcW w:w="0" w:type="dxa"/>
            <w:vAlign w:val="bottom"/>
          </w:tcPr>
          <w:p>
            <w:pPr>
              <w:spacing w:after="0"/>
              <w:rPr>
                <w:sz w:val="1"/>
                <w:szCs w:val="1"/>
                <w:color w:val="auto"/>
              </w:rPr>
            </w:pPr>
          </w:p>
        </w:tc>
      </w:tr>
      <w:tr>
        <w:trPr>
          <w:trHeight w:val="183"/>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Borders>
              <w:top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4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Supplier A</w:t>
            </w:r>
          </w:p>
        </w:tc>
        <w:tc>
          <w:tcPr>
            <w:tcW w:w="920" w:type="dxa"/>
            <w:vAlign w:val="bottom"/>
            <w:tcBorders>
              <w:top w:val="single" w:sz="8" w:color="CCEEFF"/>
            </w:tcBorders>
            <w:shd w:val="clear" w:color="auto" w:fill="CCEEFF"/>
          </w:tcPr>
          <w:p>
            <w:pPr>
              <w:ind w:left="74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top w:val="single" w:sz="8" w:color="auto"/>
            </w:tcBorders>
            <w:gridSpan w:val="2"/>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w:t>
            </w:r>
          </w:p>
        </w:tc>
        <w:tc>
          <w:tcPr>
            <w:tcW w:w="22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79"/>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top w:val="single" w:sz="8" w:color="auto"/>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44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Supplier B</w:t>
            </w:r>
          </w:p>
        </w:tc>
        <w:tc>
          <w:tcPr>
            <w:tcW w:w="920" w:type="dxa"/>
            <w:vAlign w:val="bottom"/>
          </w:tcPr>
          <w:p>
            <w:pPr>
              <w:ind w:left="7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3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7"/>
                <w:szCs w:val="17"/>
                <w:color w:val="auto"/>
              </w:rPr>
            </w:pPr>
          </w:p>
        </w:tc>
        <w:tc>
          <w:tcPr>
            <w:tcW w:w="760" w:type="dxa"/>
            <w:vAlign w:val="bottom"/>
            <w:gridSpan w:val="5"/>
          </w:tcPr>
          <w:p>
            <w:pPr>
              <w:jc w:val="right"/>
              <w:ind w:right="20"/>
              <w:spacing w:after="0" w:line="20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 ​​ ​</w:t>
            </w:r>
          </w:p>
        </w:tc>
        <w:tc>
          <w:tcPr>
            <w:tcW w:w="58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w:t>
            </w: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44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Supplier C</w:t>
            </w:r>
          </w:p>
        </w:tc>
        <w:tc>
          <w:tcPr>
            <w:tcW w:w="920" w:type="dxa"/>
            <w:vAlign w:val="bottom"/>
            <w:shd w:val="clear" w:color="auto" w:fill="CCEEFF"/>
          </w:tcPr>
          <w:p>
            <w:pPr>
              <w:ind w:left="7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79"/>
              <w:spacing w:after="0" w:line="202"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60" w:type="dxa"/>
            <w:vAlign w:val="bottom"/>
            <w:gridSpan w:val="4"/>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w:t>
            </w: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1940" w:type="dxa"/>
            <w:vAlign w:val="bottom"/>
            <w:tcBorders>
              <w:bottom w:val="single" w:sz="8" w:color="auto"/>
            </w:tcBorders>
            <w:gridSpan w:val="2"/>
          </w:tcPr>
          <w:p>
            <w:pPr>
              <w:spacing w:after="0"/>
              <w:rPr>
                <w:sz w:val="19"/>
                <w:szCs w:val="19"/>
                <w:color w:val="auto"/>
              </w:rPr>
            </w:pPr>
          </w:p>
        </w:tc>
        <w:tc>
          <w:tcPr>
            <w:tcW w:w="2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The percentage is less than 10%</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Accounts receivable, net consist of the following:</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24"/>
                <w:szCs w:val="24"/>
                <w:color w:val="auto"/>
              </w:rPr>
            </w:pPr>
          </w:p>
        </w:tc>
        <w:tc>
          <w:tcPr>
            <w:tcW w:w="132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3"/>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5"/>
                <w:szCs w:val="15"/>
                <w:color w:val="auto"/>
              </w:rPr>
            </w:pPr>
          </w:p>
        </w:tc>
        <w:tc>
          <w:tcPr>
            <w:tcW w:w="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3"/>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5"/>
                <w:szCs w:val="15"/>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44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5"/>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95,304​​</w:t>
            </w:r>
          </w:p>
        </w:tc>
        <w:tc>
          <w:tcPr>
            <w:tcW w:w="72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126,911​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(2,535​​)</w:t>
            </w: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(4,944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440" w:type="dxa"/>
            <w:vAlign w:val="bottom"/>
            <w:gridSpan w:val="2"/>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0" w:type="dxa"/>
            <w:vAlign w:val="bottom"/>
          </w:tcPr>
          <w:p>
            <w:pPr>
              <w:spacing w:after="0"/>
              <w:rPr>
                <w:sz w:val="19"/>
                <w:szCs w:val="19"/>
                <w:color w:val="auto"/>
              </w:rPr>
            </w:pPr>
          </w:p>
        </w:tc>
        <w:tc>
          <w:tcPr>
            <w:tcW w:w="44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3"/>
                <w:szCs w:val="13"/>
                <w:b w:val="1"/>
                <w:bCs w:val="1"/>
                <w:color w:val="auto"/>
              </w:rPr>
              <w:t>​92,769</w:t>
            </w:r>
          </w:p>
        </w:tc>
        <w:tc>
          <w:tcPr>
            <w:tcW w:w="1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4"/>
            <w:shd w:val="clear" w:color="auto" w:fill="CCEEFF"/>
          </w:tcPr>
          <w:p>
            <w:pPr>
              <w:ind w:left="40"/>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3"/>
                <w:szCs w:val="13"/>
                <w:b w:val="1"/>
                <w:bCs w:val="1"/>
                <w:color w:val="auto"/>
              </w:rPr>
              <w:t>​121,967</w:t>
            </w: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-2202815</wp:posOffset>
            </wp:positionV>
            <wp:extent cx="438912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-179705</wp:posOffset>
            </wp:positionV>
            <wp:extent cx="437197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371975" cy="8890"/>
                    </a:xfrm>
                    <a:prstGeom prst="rect">
                      <a:avLst/>
                    </a:prstGeom>
                    <a:noFill/>
                  </pic:spPr>
                </pic:pic>
              </a:graphicData>
            </a:graphic>
          </wp:anchor>
        </w:drawing>
      </w:r>
    </w:p>
    <w:p>
      <w:pPr>
        <w:spacing w:after="0" w:line="191" w:lineRule="exact"/>
        <w:rPr>
          <w:sz w:val="20"/>
          <w:szCs w:val="20"/>
          <w:color w:val="auto"/>
        </w:rPr>
      </w:pPr>
    </w:p>
    <w:p>
      <w:pPr>
        <w:jc w:val="both"/>
        <w:ind w:left="1260" w:right="1260" w:firstLine="360"/>
        <w:spacing w:after="0" w:line="261" w:lineRule="auto"/>
        <w:rPr>
          <w:sz w:val="20"/>
          <w:szCs w:val="20"/>
          <w:color w:val="auto"/>
        </w:rPr>
      </w:pPr>
      <w:r>
        <w:rPr>
          <w:rFonts w:ascii="Times New Roman" w:cs="Times New Roman" w:eastAsia="Times New Roman" w:hAnsi="Times New Roman"/>
          <w:sz w:val="18"/>
          <w:szCs w:val="18"/>
          <w:color w:val="auto"/>
        </w:rPr>
        <w:t>Accounts receivable, net are mainly amounts due from franchisees and an overseas agent, and are non-interest bearing and generally on terms within 90 days as of December 31, 2023. Accounts receivable, net are mainly amounts due from franchisees, and are non-interest bearing and generally on terms within 60 days as of December 31, 2024.</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movements in the allowance for credit losses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26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6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7"/>
                <w:szCs w:val="17"/>
                <w:color w:val="auto"/>
              </w:rPr>
            </w:pPr>
          </w:p>
        </w:tc>
        <w:tc>
          <w:tcPr>
            <w:tcW w:w="3380" w:type="dxa"/>
            <w:vAlign w:val="bottom"/>
            <w:gridSpan w:val="13"/>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Years Ended December 31, ​</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60" w:type="dxa"/>
            <w:vAlign w:val="bottom"/>
          </w:tcPr>
          <w:p>
            <w:pPr>
              <w:ind w:left="25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   ​</w:t>
            </w: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5"/>
                <w:szCs w:val="15"/>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660" w:type="dxa"/>
            <w:vAlign w:val="bottom"/>
            <w:vMerge w:val="restart"/>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3360" w:type="dxa"/>
            <w:vAlign w:val="bottom"/>
            <w:vMerge w:val="continue"/>
            <w:shd w:val="clear" w:color="auto" w:fill="CCEEFF"/>
          </w:tcPr>
          <w:p>
            <w:pPr>
              <w:spacing w:after="0"/>
              <w:rPr>
                <w:sz w:val="17"/>
                <w:szCs w:val="17"/>
                <w:color w:val="auto"/>
              </w:rPr>
            </w:pPr>
          </w:p>
        </w:tc>
        <w:tc>
          <w:tcPr>
            <w:tcW w:w="2660" w:type="dxa"/>
            <w:vAlign w:val="bottom"/>
            <w:vMerge w:val="continue"/>
            <w:shd w:val="clear" w:color="auto" w:fill="CCEEFF"/>
          </w:tcPr>
          <w:p>
            <w:pPr>
              <w:spacing w:after="0"/>
              <w:rPr>
                <w:sz w:val="17"/>
                <w:szCs w:val="17"/>
                <w:color w:val="auto"/>
              </w:rPr>
            </w:pPr>
          </w:p>
        </w:tc>
        <w:tc>
          <w:tcPr>
            <w:tcW w:w="60" w:type="dxa"/>
            <w:vAlign w:val="bottom"/>
            <w:vMerge w:val="continue"/>
            <w:shd w:val="clear" w:color="auto" w:fill="CCEEFF"/>
          </w:tcPr>
          <w:p>
            <w:pPr>
              <w:spacing w:after="0"/>
              <w:rPr>
                <w:sz w:val="17"/>
                <w:szCs w:val="17"/>
                <w:color w:val="auto"/>
              </w:rPr>
            </w:pPr>
          </w:p>
        </w:tc>
        <w:tc>
          <w:tcPr>
            <w:tcW w:w="480" w:type="dxa"/>
            <w:vAlign w:val="bottom"/>
            <w:tcBorders>
              <w:right w:val="single" w:sz="8" w:color="CCEEFF"/>
            </w:tcBorders>
            <w:gridSpan w:val="2"/>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shd w:val="clear" w:color="auto" w:fill="CCEEFF"/>
          </w:tcPr>
          <w:p>
            <w:pPr>
              <w:spacing w:after="0"/>
              <w:rPr>
                <w:sz w:val="17"/>
                <w:szCs w:val="17"/>
                <w:color w:val="auto"/>
              </w:rPr>
            </w:pPr>
          </w:p>
        </w:tc>
        <w:tc>
          <w:tcPr>
            <w:tcW w:w="140" w:type="dxa"/>
            <w:vAlign w:val="bottom"/>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shd w:val="clear" w:color="auto" w:fill="CCEEFF"/>
          </w:tcPr>
          <w:p>
            <w:pPr>
              <w:spacing w:after="0"/>
              <w:rPr>
                <w:sz w:val="17"/>
                <w:szCs w:val="17"/>
                <w:color w:val="auto"/>
              </w:rPr>
            </w:pPr>
          </w:p>
        </w:tc>
        <w:tc>
          <w:tcPr>
            <w:tcW w:w="540" w:type="dxa"/>
            <w:vAlign w:val="bottom"/>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33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Balance at beginning of the year</w:t>
            </w:r>
          </w:p>
        </w:tc>
        <w:tc>
          <w:tcPr>
            <w:tcW w:w="2660" w:type="dxa"/>
            <w:vAlign w:val="bottom"/>
          </w:tcPr>
          <w:p>
            <w:pPr>
              <w:ind w:left="25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(183)​​</w:t>
            </w:r>
          </w:p>
        </w:tc>
        <w:tc>
          <w:tcPr>
            <w:tcW w:w="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(835)​​</w:t>
            </w:r>
          </w:p>
        </w:tc>
        <w:tc>
          <w:tcPr>
            <w:tcW w:w="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(2,535)</w:t>
            </w:r>
          </w:p>
        </w:tc>
        <w:tc>
          <w:tcPr>
            <w:tcW w:w="12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336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Additions</w:t>
            </w:r>
          </w:p>
        </w:tc>
        <w:tc>
          <w:tcPr>
            <w:tcW w:w="2660" w:type="dxa"/>
            <w:vAlign w:val="bottom"/>
            <w:shd w:val="clear" w:color="auto" w:fill="CCEEFF"/>
          </w:tcPr>
          <w:p>
            <w:pPr>
              <w:ind w:left="25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(871)​​</w:t>
            </w:r>
          </w:p>
        </w:tc>
        <w:tc>
          <w:tcPr>
            <w:tcW w:w="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(1,711)​​</w:t>
            </w:r>
          </w:p>
        </w:tc>
        <w:tc>
          <w:tcPr>
            <w:tcW w:w="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(3,552)</w:t>
            </w:r>
          </w:p>
        </w:tc>
        <w:tc>
          <w:tcPr>
            <w:tcW w:w="12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Write-offs</w:t>
            </w:r>
          </w:p>
        </w:tc>
        <w:tc>
          <w:tcPr>
            <w:tcW w:w="26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219 ​​</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1,143</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5"/>
        </w:trPr>
        <w:tc>
          <w:tcPr>
            <w:tcW w:w="1260" w:type="dxa"/>
            <w:vAlign w:val="bottom"/>
          </w:tcPr>
          <w:p>
            <w:pPr>
              <w:spacing w:after="0"/>
              <w:rPr>
                <w:sz w:val="19"/>
                <w:szCs w:val="19"/>
                <w:color w:val="auto"/>
              </w:rPr>
            </w:pPr>
          </w:p>
        </w:tc>
        <w:tc>
          <w:tcPr>
            <w:tcW w:w="33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660" w:type="dxa"/>
            <w:vAlign w:val="bottom"/>
            <w:tcBorders>
              <w:top w:val="single" w:sz="8" w:color="CCEEFF"/>
              <w:bottom w:val="single" w:sz="8" w:color="CCEEFF"/>
            </w:tcBorders>
            <w:shd w:val="clear" w:color="auto" w:fill="CCEEFF"/>
          </w:tcPr>
          <w:p>
            <w:pPr>
              <w:ind w:left="25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3"/>
                <w:szCs w:val="13"/>
                <w:b w:val="1"/>
                <w:bCs w:val="1"/>
                <w:color w:val="auto"/>
              </w:rPr>
              <w:t>(835</w:t>
            </w:r>
          </w:p>
        </w:tc>
        <w:tc>
          <w:tcPr>
            <w:tcW w:w="14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21"/>
                <w:szCs w:val="21"/>
                <w:b w:val="1"/>
                <w:bCs w:val="1"/>
                <w:color w:val="auto"/>
                <w:vertAlign w:val="superscript"/>
              </w:rPr>
              <w:t>)</w:t>
            </w:r>
            <w:r>
              <w:rPr>
                <w:rFonts w:ascii="Times New Roman" w:cs="Times New Roman" w:eastAsia="Times New Roman" w:hAnsi="Times New Roman"/>
                <w:sz w:val="13"/>
                <w:szCs w:val="13"/>
                <w:b w:val="1"/>
                <w:bCs w:val="1"/>
                <w:color w:val="auto"/>
              </w:rPr>
              <w:t>​​</w:t>
            </w:r>
          </w:p>
        </w:tc>
        <w:tc>
          <w:tcPr>
            <w:tcW w:w="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3"/>
                <w:szCs w:val="13"/>
                <w:b w:val="1"/>
                <w:bCs w:val="1"/>
                <w:color w:val="auto"/>
              </w:rPr>
              <w:t>(2,535</w:t>
            </w:r>
          </w:p>
        </w:tc>
        <w:tc>
          <w:tcPr>
            <w:tcW w:w="14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21"/>
                <w:szCs w:val="21"/>
                <w:b w:val="1"/>
                <w:bCs w:val="1"/>
                <w:color w:val="auto"/>
                <w:vertAlign w:val="superscript"/>
              </w:rPr>
              <w:t>)</w:t>
            </w:r>
            <w:r>
              <w:rPr>
                <w:rFonts w:ascii="Times New Roman" w:cs="Times New Roman" w:eastAsia="Times New Roman" w:hAnsi="Times New Roman"/>
                <w:sz w:val="13"/>
                <w:szCs w:val="13"/>
                <w:b w:val="1"/>
                <w:bCs w:val="1"/>
                <w:color w:val="auto"/>
              </w:rPr>
              <w:t>​​</w:t>
            </w:r>
          </w:p>
        </w:tc>
        <w:tc>
          <w:tcPr>
            <w:tcW w:w="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3"/>
                <w:szCs w:val="13"/>
                <w:b w:val="1"/>
                <w:bCs w:val="1"/>
                <w:color w:val="auto"/>
              </w:rPr>
              <w:t>(4,944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ind w:left="540"/>
              <w:spacing w:after="0"/>
              <w:rPr>
                <w:sz w:val="20"/>
                <w:szCs w:val="20"/>
                <w:color w:val="auto"/>
              </w:rPr>
            </w:pPr>
            <w:r>
              <w:rPr>
                <w:rFonts w:ascii="Times New Roman" w:cs="Times New Roman" w:eastAsia="Times New Roman" w:hAnsi="Times New Roman"/>
                <w:sz w:val="18"/>
                <w:szCs w:val="18"/>
                <w:color w:val="auto"/>
              </w:rPr>
              <w:t>F-28</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12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-839470</wp:posOffset>
            </wp:positionV>
            <wp:extent cx="521208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-1370965</wp:posOffset>
            </wp:positionV>
            <wp:extent cx="482600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82600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41" w:name="page242"/>
    <w:bookmarkEnd w:id="2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214"/>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60" w:type="dxa"/>
            <w:vAlign w:val="bottom"/>
          </w:tcPr>
          <w:p>
            <w:pPr>
              <w:ind w:left="2840"/>
              <w:spacing w:after="0"/>
              <w:rPr>
                <w:sz w:val="20"/>
                <w:szCs w:val="20"/>
                <w:color w:val="auto"/>
              </w:rPr>
            </w:pPr>
            <w:r>
              <w:rPr>
                <w:rFonts w:ascii="Times New Roman" w:cs="Times New Roman" w:eastAsia="Times New Roman" w:hAnsi="Times New Roman"/>
                <w:sz w:val="14"/>
                <w:szCs w:val="14"/>
                <w:b w:val="1"/>
                <w:bCs w:val="1"/>
                <w:color w:val="auto"/>
              </w:rPr>
              <w:t>​ ​</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09"/>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60" w:type="dxa"/>
            <w:vAlign w:val="bottom"/>
          </w:tcPr>
          <w:p>
            <w:pPr>
              <w:ind w:left="288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60" w:type="dxa"/>
            <w:vAlign w:val="bottom"/>
          </w:tcPr>
          <w:p>
            <w:pPr>
              <w:ind w:left="288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-1905</wp:posOffset>
            </wp:positionV>
            <wp:extent cx="4749165" cy="13716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Teahouse operation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-10795</wp:posOffset>
            </wp:positionV>
            <wp:extent cx="4749165" cy="16256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Packaging and other supplies</w:t>
      </w:r>
    </w:p>
    <w:p>
      <w:pPr>
        <w:spacing w:after="0" w:line="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33" w:lineRule="exact"/>
        <w:rPr>
          <w:sz w:val="20"/>
          <w:szCs w:val="20"/>
          <w:color w:val="auto"/>
        </w:rPr>
      </w:pPr>
    </w:p>
    <w:p>
      <w:pPr>
        <w:ind w:left="1620" w:right="360" w:hanging="360"/>
        <w:spacing w:after="0" w:line="443" w:lineRule="auto"/>
        <w:tabs>
          <w:tab w:leader="none" w:pos="1512"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PREPAYMENTS AND OTHER CURRENT ASSETS, NET </w:t>
      </w:r>
      <w:r>
        <w:rPr>
          <w:rFonts w:ascii="Times New Roman" w:cs="Times New Roman" w:eastAsia="Times New Roman" w:hAnsi="Times New Roman"/>
          <w:sz w:val="18"/>
          <w:szCs w:val="18"/>
          <w:color w:val="auto"/>
        </w:rPr>
        <w:t>Prepayments and other current assets consist of the following:</w:t>
      </w:r>
    </w:p>
    <w:p>
      <w:pPr>
        <w:spacing w:after="0" w:line="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5430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Loan receivables, net</w:t>
      </w:r>
      <w:r>
        <w:rPr>
          <w:rFonts w:ascii="Times New Roman" w:cs="Times New Roman" w:eastAsia="Times New Roman" w:hAnsi="Times New Roman"/>
          <w:sz w:val="23"/>
          <w:szCs w:val="23"/>
          <w:color w:val="auto"/>
          <w:vertAlign w:val="superscript"/>
        </w:rPr>
        <w:t>(i)</w:t>
      </w:r>
    </w:p>
    <w:p>
      <w:pPr>
        <w:ind w:left="1620"/>
        <w:spacing w:after="0"/>
        <w:rPr>
          <w:sz w:val="20"/>
          <w:szCs w:val="20"/>
          <w:color w:val="auto"/>
        </w:rPr>
      </w:pPr>
      <w:r>
        <w:rPr>
          <w:rFonts w:ascii="Times New Roman" w:cs="Times New Roman" w:eastAsia="Times New Roman" w:hAnsi="Times New Roman"/>
          <w:sz w:val="18"/>
          <w:szCs w:val="18"/>
          <w:color w:val="auto"/>
        </w:rPr>
        <w:t>Prepayments for purchased goods or services</w:t>
      </w:r>
      <w:r>
        <w:rPr>
          <w:rFonts w:ascii="Times New Roman" w:cs="Times New Roman" w:eastAsia="Times New Roman" w:hAnsi="Times New Roman"/>
          <w:sz w:val="23"/>
          <w:szCs w:val="23"/>
          <w:color w:val="auto"/>
          <w:vertAlign w:val="superscript"/>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-15240</wp:posOffset>
            </wp:positionV>
            <wp:extent cx="4749165" cy="13716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Payments on behalf of franchised stores</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Prepaid rental and other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-10795</wp:posOffset>
            </wp:positionV>
            <wp:extent cx="4749165" cy="13716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VAT recoverable</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Receivable from online retail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-10795</wp:posOffset>
            </wp:positionV>
            <wp:extent cx="4749165" cy="13716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Interest receivable</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5715</wp:posOffset>
            </wp:positionV>
            <wp:extent cx="4749165" cy="17970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88265</wp:posOffset>
            </wp:positionV>
            <wp:extent cx="123444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20,712​​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45,693​​ ​</w:t>
      </w:r>
    </w:p>
    <w:p>
      <w:pPr>
        <w:spacing w:after="0" w:line="33" w:lineRule="exact"/>
        <w:rPr>
          <w:sz w:val="20"/>
          <w:szCs w:val="20"/>
          <w:color w:val="auto"/>
        </w:rPr>
      </w:pPr>
    </w:p>
    <w:p>
      <w:pPr>
        <w:ind w:left="120" w:hanging="115"/>
        <w:spacing w:after="0"/>
        <w:tabs>
          <w:tab w:leader="none" w:pos="1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10,905​​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20,980​​ ​​</w:t>
      </w:r>
    </w:p>
    <w:p>
      <w:pPr>
        <w:spacing w:after="0" w:line="9" w:lineRule="exact"/>
        <w:rPr>
          <w:rFonts w:ascii="Times New Roman" w:cs="Times New Roman" w:eastAsia="Times New Roman" w:hAnsi="Times New Roman"/>
          <w:sz w:val="18"/>
          <w:szCs w:val="18"/>
          <w:color w:val="auto"/>
        </w:rPr>
      </w:pPr>
    </w:p>
    <w:p>
      <w:pPr>
        <w:ind w:left="120" w:hanging="115"/>
        <w:spacing w:after="0"/>
        <w:tabs>
          <w:tab w:leader="none" w:pos="1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9,875​​ ​​ 65,396​​ ​</w:t>
      </w:r>
    </w:p>
    <w:p>
      <w:pPr>
        <w:spacing w:after="0" w:line="36" w:lineRule="exact"/>
        <w:rPr>
          <w:rFonts w:ascii="Times New Roman" w:cs="Times New Roman" w:eastAsia="Times New Roman" w:hAnsi="Times New Roman"/>
          <w:sz w:val="18"/>
          <w:szCs w:val="18"/>
          <w:color w:val="auto"/>
        </w:rPr>
      </w:pPr>
    </w:p>
    <w:p>
      <w:pPr>
        <w:ind w:left="120" w:hanging="115"/>
        <w:spacing w:after="0" w:line="184" w:lineRule="auto"/>
        <w:tabs>
          <w:tab w:leader="none" w:pos="120" w:val="left"/>
        </w:tabs>
        <w:numPr>
          <w:ilvl w:val="0"/>
          <w:numId w:val="154"/>
        </w:numPr>
        <w:rPr>
          <w:rFonts w:ascii="Times New Roman" w:cs="Times New Roman" w:eastAsia="Times New Roman" w:hAnsi="Times New Roman"/>
          <w:sz w:val="32"/>
          <w:szCs w:val="32"/>
          <w:b w:val="1"/>
          <w:bCs w:val="1"/>
          <w:color w:val="auto"/>
          <w:vertAlign w:val="subscript"/>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u w:val="single" w:color="auto"/>
          <w:color w:val="auto"/>
        </w:rPr>
        <w:t>​41,492</w:t>
      </w:r>
      <w:r>
        <w:rPr>
          <w:rFonts w:ascii="Times New Roman" w:cs="Times New Roman" w:eastAsia="Times New Roman" w:hAnsi="Times New Roman"/>
          <w:sz w:val="31"/>
          <w:szCs w:val="31"/>
          <w:b w:val="1"/>
          <w:bCs w:val="1"/>
          <w:color w:val="auto"/>
          <w:vertAlign w:val="subscript"/>
        </w:rPr>
        <w:t>​​ ​​</w:t>
      </w:r>
      <w:r>
        <w:rPr>
          <w:rFonts w:ascii="Times New Roman" w:cs="Times New Roman" w:eastAsia="Times New Roman" w:hAnsi="Times New Roman"/>
          <w:sz w:val="17"/>
          <w:szCs w:val="17"/>
          <w:b w:val="1"/>
          <w:bCs w:val="1"/>
          <w:u w:val="single" w:color="auto"/>
          <w:color w:val="auto"/>
        </w:rPr>
        <w:t>​132,069</w:t>
      </w:r>
      <w:r>
        <w:rPr>
          <w:rFonts w:ascii="Times New Roman" w:cs="Times New Roman" w:eastAsia="Times New Roman" w:hAnsi="Times New Roman"/>
          <w:sz w:val="31"/>
          <w:szCs w:val="31"/>
          <w:b w:val="1"/>
          <w:bCs w:val="1"/>
          <w:color w:val="auto"/>
          <w:vertAlign w:val="subscript"/>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3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3"/>
        </w:trPr>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67"/>
        </w:trPr>
        <w:tc>
          <w:tcPr>
            <w:tcW w:w="10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20,364​​ ​</w:t>
            </w: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w:t>
            </w:r>
          </w:p>
        </w:tc>
      </w:tr>
    </w:tbl>
    <w:p>
      <w:pPr>
        <w:spacing w:after="0" w:line="9" w:lineRule="exact"/>
        <w:rPr>
          <w:sz w:val="20"/>
          <w:szCs w:val="20"/>
          <w:color w:val="auto"/>
        </w:rPr>
      </w:pPr>
    </w:p>
    <w:p>
      <w:pPr>
        <w:ind w:left="320" w:hanging="99"/>
        <w:spacing w:after="0"/>
        <w:tabs>
          <w:tab w:leader="none" w:pos="3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29,256​​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125,070​</w:t>
      </w:r>
    </w:p>
    <w:p>
      <w:pPr>
        <w:spacing w:after="0" w:line="27" w:lineRule="exact"/>
        <w:rPr>
          <w:rFonts w:ascii="Times New Roman" w:cs="Times New Roman" w:eastAsia="Times New Roman" w:hAnsi="Times New Roman"/>
          <w:sz w:val="18"/>
          <w:szCs w:val="18"/>
          <w:color w:val="auto"/>
        </w:rPr>
      </w:pPr>
    </w:p>
    <w:p>
      <w:pPr>
        <w:ind w:left="320" w:hanging="99"/>
        <w:spacing w:after="0"/>
        <w:tabs>
          <w:tab w:leader="none" w:pos="3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45,228​</w:t>
      </w:r>
    </w:p>
    <w:p>
      <w:pPr>
        <w:spacing w:after="0" w:line="9" w:lineRule="exact"/>
        <w:rPr>
          <w:rFonts w:ascii="Times New Roman" w:cs="Times New Roman" w:eastAsia="Times New Roman" w:hAnsi="Times New Roman"/>
          <w:sz w:val="18"/>
          <w:szCs w:val="18"/>
          <w:color w:val="auto"/>
        </w:rPr>
      </w:pPr>
    </w:p>
    <w:p>
      <w:pPr>
        <w:ind w:left="320" w:hanging="99"/>
        <w:spacing w:after="0"/>
        <w:tabs>
          <w:tab w:leader="none" w:pos="3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20,198​​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33,426​</w:t>
      </w:r>
    </w:p>
    <w:p>
      <w:pPr>
        <w:spacing w:after="0" w:line="9" w:lineRule="exact"/>
        <w:rPr>
          <w:rFonts w:ascii="Times New Roman" w:cs="Times New Roman" w:eastAsia="Times New Roman" w:hAnsi="Times New Roman"/>
          <w:sz w:val="18"/>
          <w:szCs w:val="18"/>
          <w:color w:val="auto"/>
        </w:rPr>
      </w:pPr>
    </w:p>
    <w:p>
      <w:pPr>
        <w:ind w:left="320" w:hanging="99"/>
        <w:spacing w:after="0"/>
        <w:tabs>
          <w:tab w:leader="none" w:pos="3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8,569​​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45,946​</w:t>
      </w:r>
    </w:p>
    <w:p>
      <w:pPr>
        <w:spacing w:after="0" w:line="9" w:lineRule="exact"/>
        <w:rPr>
          <w:rFonts w:ascii="Times New Roman" w:cs="Times New Roman" w:eastAsia="Times New Roman" w:hAnsi="Times New Roman"/>
          <w:sz w:val="18"/>
          <w:szCs w:val="18"/>
          <w:color w:val="auto"/>
        </w:rPr>
      </w:pPr>
    </w:p>
    <w:p>
      <w:pPr>
        <w:ind w:left="320" w:hanging="99"/>
        <w:spacing w:after="0"/>
        <w:tabs>
          <w:tab w:leader="none" w:pos="3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4,434​​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11,830​</w:t>
      </w:r>
    </w:p>
    <w:p>
      <w:pPr>
        <w:spacing w:after="0" w:line="9" w:lineRule="exact"/>
        <w:rPr>
          <w:rFonts w:ascii="Times New Roman" w:cs="Times New Roman" w:eastAsia="Times New Roman" w:hAnsi="Times New Roman"/>
          <w:sz w:val="18"/>
          <w:szCs w:val="18"/>
          <w:color w:val="auto"/>
        </w:rPr>
      </w:pPr>
    </w:p>
    <w:p>
      <w:pPr>
        <w:ind w:left="320" w:hanging="99"/>
        <w:spacing w:after="0"/>
        <w:tabs>
          <w:tab w:leader="none" w:pos="3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14,749​</w:t>
      </w:r>
    </w:p>
    <w:p>
      <w:pPr>
        <w:spacing w:after="0" w:line="9" w:lineRule="exact"/>
        <w:rPr>
          <w:rFonts w:ascii="Times New Roman" w:cs="Times New Roman" w:eastAsia="Times New Roman" w:hAnsi="Times New Roman"/>
          <w:sz w:val="18"/>
          <w:szCs w:val="18"/>
          <w:color w:val="auto"/>
        </w:rPr>
      </w:pPr>
    </w:p>
    <w:p>
      <w:pPr>
        <w:ind w:left="320" w:hanging="99"/>
        <w:spacing w:after="0"/>
        <w:tabs>
          <w:tab w:leader="none" w:pos="3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8,465​​ ​​ 38,680​</w:t>
      </w:r>
    </w:p>
    <w:p>
      <w:pPr>
        <w:spacing w:after="0" w:line="36" w:lineRule="exact"/>
        <w:rPr>
          <w:rFonts w:ascii="Times New Roman" w:cs="Times New Roman" w:eastAsia="Times New Roman" w:hAnsi="Times New Roman"/>
          <w:sz w:val="18"/>
          <w:szCs w:val="18"/>
          <w:color w:val="auto"/>
        </w:rPr>
      </w:pPr>
    </w:p>
    <w:p>
      <w:pPr>
        <w:ind w:left="320" w:hanging="99"/>
        <w:spacing w:after="0" w:line="184" w:lineRule="auto"/>
        <w:tabs>
          <w:tab w:leader="none" w:pos="320" w:val="left"/>
        </w:tabs>
        <w:numPr>
          <w:ilvl w:val="0"/>
          <w:numId w:val="155"/>
        </w:numPr>
        <w:rPr>
          <w:rFonts w:ascii="Times New Roman" w:cs="Times New Roman" w:eastAsia="Times New Roman" w:hAnsi="Times New Roman"/>
          <w:sz w:val="32"/>
          <w:szCs w:val="32"/>
          <w:b w:val="1"/>
          <w:bCs w:val="1"/>
          <w:color w:val="auto"/>
          <w:vertAlign w:val="subscript"/>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u w:val="single" w:color="auto"/>
          <w:color w:val="auto"/>
        </w:rPr>
        <w:t>​91,286</w:t>
      </w:r>
      <w:r>
        <w:rPr>
          <w:rFonts w:ascii="Times New Roman" w:cs="Times New Roman" w:eastAsia="Times New Roman" w:hAnsi="Times New Roman"/>
          <w:sz w:val="31"/>
          <w:szCs w:val="31"/>
          <w:b w:val="1"/>
          <w:bCs w:val="1"/>
          <w:color w:val="auto"/>
          <w:vertAlign w:val="subscript"/>
        </w:rPr>
        <w:t>​​ ​​</w:t>
      </w:r>
      <w:r>
        <w:rPr>
          <w:rFonts w:ascii="Times New Roman" w:cs="Times New Roman" w:eastAsia="Times New Roman" w:hAnsi="Times New Roman"/>
          <w:sz w:val="17"/>
          <w:szCs w:val="17"/>
          <w:b w:val="1"/>
          <w:bCs w:val="1"/>
          <w:u w:val="single" w:color="auto"/>
          <w:color w:val="auto"/>
        </w:rPr>
        <w:t>​315,404</w:t>
      </w:r>
      <w:r>
        <w:rPr>
          <w:rFonts w:ascii="Times New Roman" w:cs="Times New Roman" w:eastAsia="Times New Roman" w:hAnsi="Times New Roman"/>
          <w:sz w:val="31"/>
          <w:szCs w:val="31"/>
          <w:b w:val="1"/>
          <w:bCs w:val="1"/>
          <w:color w:val="auto"/>
          <w:vertAlign w:val="subscript"/>
        </w:rPr>
        <w:t>​</w:t>
      </w:r>
    </w:p>
    <w:p>
      <w:pPr>
        <w:spacing w:after="0" w:line="200" w:lineRule="exact"/>
        <w:rPr>
          <w:sz w:val="20"/>
          <w:szCs w:val="20"/>
          <w:color w:val="auto"/>
        </w:rPr>
      </w:pPr>
    </w:p>
    <w:p>
      <w:pPr>
        <w:sectPr>
          <w:pgSz w:w="11900" w:h="16838" w:orient="portrait"/>
          <w:cols w:equalWidth="0" w:num="2">
            <w:col w:w="6660" w:space="720"/>
            <w:col w:w="2499"/>
          </w:cols>
          <w:pgMar w:left="580" w:top="97" w:right="1440" w:bottom="1440" w:gutter="0" w:footer="0" w:header="0"/>
          <w:type w:val="continuous"/>
        </w:sectPr>
      </w:pPr>
    </w:p>
    <w:p>
      <w:pPr>
        <w:spacing w:after="0" w:line="26" w:lineRule="exact"/>
        <w:rPr>
          <w:sz w:val="20"/>
          <w:szCs w:val="20"/>
          <w:color w:val="auto"/>
        </w:rPr>
      </w:pPr>
    </w:p>
    <w:p>
      <w:pPr>
        <w:ind w:left="1620" w:right="419" w:hanging="360"/>
        <w:spacing w:after="0" w:line="282" w:lineRule="auto"/>
        <w:tabs>
          <w:tab w:leader="none" w:pos="16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as of December 31, 2023 and 2024 represent loans provided to the third parties with terms of one year after offsetting the provision for expected credit losses.</w:t>
      </w:r>
    </w:p>
    <w:p>
      <w:pPr>
        <w:spacing w:after="0" w:line="13" w:lineRule="exact"/>
        <w:rPr>
          <w:rFonts w:ascii="Times New Roman" w:cs="Times New Roman" w:eastAsia="Times New Roman" w:hAnsi="Times New Roman"/>
          <w:sz w:val="18"/>
          <w:szCs w:val="18"/>
          <w:color w:val="auto"/>
        </w:rPr>
      </w:pPr>
    </w:p>
    <w:p>
      <w:pPr>
        <w:jc w:val="both"/>
        <w:ind w:left="1620" w:right="419" w:hanging="360"/>
        <w:spacing w:after="0" w:line="259" w:lineRule="auto"/>
        <w:tabs>
          <w:tab w:leader="none" w:pos="16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as of December 31, 2024 includes deferred IPO cost of RMB16.9 million. Direct cost incurred by the Group attributable to its IPO of ordinary shares in the United States have been deferred and recorded as deferred IPO cost and will be offset against the gross proceeds received from such offering. In the event the IPO is terminated or abandoned, all capitalized deferred IPO cost will be expensed.</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Pr>
          <w:p>
            <w:pPr>
              <w:ind w:left="180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13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Pr>
          <w:p>
            <w:pPr>
              <w:ind w:left="18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tcPr>
          <w:p>
            <w:pPr>
              <w:ind w:left="18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96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28,841​​</w:t>
            </w:r>
          </w:p>
        </w:tc>
        <w:tc>
          <w:tcPr>
            <w:tcW w:w="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212,239​</w:t>
            </w:r>
          </w:p>
        </w:tc>
        <w:tc>
          <w:tcPr>
            <w:tcW w:w="20" w:type="dxa"/>
            <w:vAlign w:val="bottom"/>
          </w:tcPr>
          <w:p>
            <w:pPr>
              <w:spacing w:after="0"/>
              <w:rPr>
                <w:sz w:val="21"/>
                <w:szCs w:val="21"/>
                <w:color w:val="auto"/>
              </w:rPr>
            </w:pPr>
          </w:p>
        </w:tc>
      </w:tr>
      <w:tr>
        <w:trPr>
          <w:trHeight w:val="24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Teahouse operation equipment</w:t>
            </w:r>
          </w:p>
        </w:tc>
        <w:tc>
          <w:tcPr>
            <w:tcW w:w="1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8,648​​</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40,840​</w:t>
            </w:r>
          </w:p>
        </w:tc>
      </w:tr>
      <w:tr>
        <w:trPr>
          <w:trHeight w:val="24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196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2,181​​</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22,106​</w:t>
            </w:r>
          </w:p>
        </w:tc>
        <w:tc>
          <w:tcPr>
            <w:tcW w:w="20" w:type="dxa"/>
            <w:vAlign w:val="bottom"/>
          </w:tcPr>
          <w:p>
            <w:pPr>
              <w:spacing w:after="0"/>
              <w:rPr>
                <w:sz w:val="21"/>
                <w:szCs w:val="21"/>
                <w:color w:val="auto"/>
              </w:rPr>
            </w:pPr>
          </w:p>
        </w:tc>
      </w:tr>
      <w:tr>
        <w:trPr>
          <w:trHeight w:val="25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1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6,319​​</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27,449​</w:t>
            </w:r>
          </w:p>
        </w:tc>
      </w:tr>
      <w:tr>
        <w:trPr>
          <w:trHeight w:val="25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96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1,041​​</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14,289​</w:t>
            </w:r>
          </w:p>
        </w:tc>
        <w:tc>
          <w:tcPr>
            <w:tcW w:w="2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1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2" w:name="page243"/>
    <w:bookmarkEnd w:id="242"/>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7. PROPERTY AND EQUIPMENT, NET (continued)</w:t>
      </w:r>
    </w:p>
    <w:p>
      <w:pPr>
        <w:spacing w:after="0" w:line="209" w:lineRule="exact"/>
        <w:rPr>
          <w:sz w:val="20"/>
          <w:szCs w:val="20"/>
          <w:color w:val="auto"/>
        </w:rPr>
      </w:pPr>
    </w:p>
    <w:tbl>
      <w:tblPr>
        <w:tblLayout w:type="fixed"/>
        <w:tblInd w:w="1620" w:type="dxa"/>
        <w:tblCellMar>
          <w:top w:w="0" w:type="dxa"/>
          <w:left w:w="0" w:type="dxa"/>
          <w:bottom w:w="0" w:type="dxa"/>
          <w:right w:w="0" w:type="dxa"/>
        </w:tblCellMar>
      </w:tblPr>
      <w:tr>
        <w:trPr>
          <w:trHeight w:val="231"/>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40" w:type="dxa"/>
            <w:vAlign w:val="bottom"/>
          </w:tcPr>
          <w:p>
            <w:pPr>
              <w:ind w:left="2920"/>
              <w:spacing w:after="0"/>
              <w:rPr>
                <w:sz w:val="20"/>
                <w:szCs w:val="20"/>
                <w:color w:val="auto"/>
              </w:rPr>
            </w:pPr>
            <w:r>
              <w:rPr>
                <w:rFonts w:ascii="Times New Roman" w:cs="Times New Roman" w:eastAsia="Times New Roman" w:hAnsi="Times New Roman"/>
                <w:sz w:val="14"/>
                <w:szCs w:val="14"/>
                <w:b w:val="1"/>
                <w:bCs w:val="1"/>
                <w:color w:val="auto"/>
              </w:rPr>
              <w:t>​ ​</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r>
      <w:tr>
        <w:trPr>
          <w:trHeight w:val="253"/>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40" w:type="dxa"/>
            <w:vAlign w:val="bottom"/>
          </w:tcPr>
          <w:p>
            <w:pPr>
              <w:ind w:left="2980"/>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6"/>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40" w:type="dxa"/>
            <w:vAlign w:val="bottom"/>
          </w:tcPr>
          <w:p>
            <w:pPr>
              <w:ind w:left="2980"/>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RMB</w:t>
            </w: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w w:val="91"/>
              </w:rPr>
              <w:t>RMB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5394960</wp:posOffset>
            </wp:positionH>
            <wp:positionV relativeFrom="paragraph">
              <wp:posOffset>-136525</wp:posOffset>
            </wp:positionV>
            <wp:extent cx="3860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-299720</wp:posOffset>
            </wp:positionV>
            <wp:extent cx="89154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5" w:lineRule="exact"/>
        <w:rPr>
          <w:sz w:val="20"/>
          <w:szCs w:val="20"/>
          <w:color w:val="auto"/>
        </w:rPr>
      </w:pPr>
    </w:p>
    <w:p>
      <w:pPr>
        <w:sectPr>
          <w:pgSz w:w="11900" w:h="16838" w:orient="portrait"/>
          <w:cols w:equalWidth="0" w:num="2">
            <w:col w:w="8960" w:space="140"/>
            <w:col w:w="779"/>
          </w:cols>
          <w:pgMar w:left="580" w:top="97" w:right="1440" w:bottom="1440" w:gutter="0" w:footer="0" w:header="0"/>
          <w:type w:val="continuous"/>
        </w:sectPr>
      </w:pPr>
    </w:p>
    <w:tbl>
      <w:tblPr>
        <w:tblLayout w:type="fixed"/>
        <w:tblInd w:w="1620" w:type="dxa"/>
        <w:tblCellMar>
          <w:top w:w="0" w:type="dxa"/>
          <w:left w:w="0" w:type="dxa"/>
          <w:bottom w:w="0" w:type="dxa"/>
          <w:right w:w="0" w:type="dxa"/>
        </w:tblCellMar>
      </w:tblPr>
      <w:tr>
        <w:trPr>
          <w:trHeight w:val="237"/>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w:t>
            </w:r>
          </w:p>
        </w:tc>
        <w:tc>
          <w:tcPr>
            <w:tcW w:w="212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649​​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120" w:type="dxa"/>
            <w:vAlign w:val="bottom"/>
            <w:gridSpan w:val="2"/>
          </w:tcPr>
          <w:p>
            <w:pPr>
              <w:ind w:left="178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740" w:type="dxa"/>
            <w:vAlign w:val="bottom"/>
            <w:gridSpan w:val="3"/>
          </w:tcPr>
          <w:p>
            <w:pPr>
              <w:jc w:val="right"/>
              <w:ind w:right="6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5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4,177</w:t>
            </w:r>
            <w:r>
              <w:rPr>
                <w:rFonts w:ascii="Times New Roman" w:cs="Times New Roman" w:eastAsia="Times New Roman" w:hAnsi="Times New Roman"/>
                <w:sz w:val="31"/>
                <w:szCs w:val="31"/>
                <w:color w:val="auto"/>
                <w:vertAlign w:val="subscript"/>
              </w:rPr>
              <w:t>​</w:t>
            </w:r>
          </w:p>
        </w:tc>
      </w:tr>
      <w:tr>
        <w:trPr>
          <w:trHeight w:val="20"/>
        </w:trPr>
        <w:tc>
          <w:tcPr>
            <w:tcW w:w="414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40" w:type="dxa"/>
            <w:vAlign w:val="bottom"/>
            <w:gridSpan w:val="6"/>
            <w:shd w:val="clear" w:color="auto" w:fill="CCEEFF"/>
          </w:tcPr>
          <w:p>
            <w:pPr>
              <w:ind w:left="1780"/>
              <w:spacing w:after="0"/>
              <w:rPr>
                <w:sz w:val="20"/>
                <w:szCs w:val="20"/>
                <w:color w:val="auto"/>
              </w:rPr>
            </w:pPr>
            <w:r>
              <w:rPr>
                <w:rFonts w:ascii="Times New Roman" w:cs="Times New Roman" w:eastAsia="Times New Roman" w:hAnsi="Times New Roman"/>
                <w:sz w:val="18"/>
                <w:szCs w:val="18"/>
                <w:b w:val="1"/>
                <w:bCs w:val="1"/>
                <w:color w:val="auto"/>
              </w:rPr>
              <w:t>​ ​​ 47,679​​ ​​321,749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4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Less: accumulated depreciation</w:t>
            </w:r>
          </w:p>
        </w:tc>
        <w:tc>
          <w:tcPr>
            <w:tcW w:w="3400" w:type="dxa"/>
            <w:vAlign w:val="bottom"/>
            <w:gridSpan w:val="7"/>
          </w:tcPr>
          <w:p>
            <w:pPr>
              <w:ind w:left="1940"/>
              <w:spacing w:after="0" w:line="202" w:lineRule="exact"/>
              <w:rPr>
                <w:sz w:val="20"/>
                <w:szCs w:val="20"/>
                <w:color w:val="auto"/>
              </w:rPr>
            </w:pPr>
            <w:r>
              <w:rPr>
                <w:rFonts w:ascii="Times New Roman" w:cs="Times New Roman" w:eastAsia="Times New Roman" w:hAnsi="Times New Roman"/>
                <w:sz w:val="18"/>
                <w:szCs w:val="18"/>
                <w:color w:val="auto"/>
              </w:rPr>
              <w:t>​(14,264)  ​(72,746)</w:t>
            </w:r>
          </w:p>
        </w:tc>
      </w:tr>
      <w:tr>
        <w:trPr>
          <w:trHeight w:val="68"/>
        </w:trPr>
        <w:tc>
          <w:tcPr>
            <w:tcW w:w="4140" w:type="dxa"/>
            <w:vAlign w:val="bottom"/>
          </w:tcPr>
          <w:p>
            <w:pPr>
              <w:spacing w:after="0"/>
              <w:rPr>
                <w:sz w:val="5"/>
                <w:szCs w:val="5"/>
                <w:color w:val="auto"/>
              </w:rPr>
            </w:pPr>
          </w:p>
        </w:tc>
        <w:tc>
          <w:tcPr>
            <w:tcW w:w="2120" w:type="dxa"/>
            <w:vAlign w:val="bottom"/>
            <w:gridSpan w:val="2"/>
          </w:tcPr>
          <w:p>
            <w:pPr>
              <w:ind w:left="1780"/>
              <w:spacing w:after="0" w:line="68" w:lineRule="exact"/>
              <w:rPr>
                <w:sz w:val="20"/>
                <w:szCs w:val="20"/>
                <w:color w:val="auto"/>
              </w:rPr>
            </w:pPr>
            <w:r>
              <w:rPr>
                <w:rFonts w:ascii="Times New Roman" w:cs="Times New Roman" w:eastAsia="Times New Roman" w:hAnsi="Times New Roman"/>
                <w:sz w:val="7"/>
                <w:szCs w:val="7"/>
                <w:color w:val="auto"/>
              </w:rPr>
              <w:t>​ ​​</w:t>
            </w:r>
          </w:p>
        </w:tc>
        <w:tc>
          <w:tcPr>
            <w:tcW w:w="740" w:type="dxa"/>
            <w:vAlign w:val="bottom"/>
            <w:gridSpan w:val="3"/>
          </w:tcPr>
          <w:p>
            <w:pPr>
              <w:jc w:val="right"/>
              <w:ind w:right="80"/>
              <w:spacing w:after="0" w:line="68" w:lineRule="exact"/>
              <w:rPr>
                <w:sz w:val="20"/>
                <w:szCs w:val="20"/>
                <w:color w:val="auto"/>
              </w:rPr>
            </w:pPr>
            <w:r>
              <w:rPr>
                <w:rFonts w:ascii="Times New Roman" w:cs="Times New Roman" w:eastAsia="Times New Roman" w:hAnsi="Times New Roman"/>
                <w:sz w:val="7"/>
                <w:szCs w:val="7"/>
                <w:color w:val="auto"/>
              </w:rPr>
              <w:t>​​ ​​</w:t>
            </w:r>
          </w:p>
        </w:tc>
        <w:tc>
          <w:tcPr>
            <w:tcW w:w="5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r>
      <w:tr>
        <w:trPr>
          <w:trHeight w:val="20"/>
        </w:trPr>
        <w:tc>
          <w:tcPr>
            <w:tcW w:w="414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3340" w:type="dxa"/>
            <w:vAlign w:val="bottom"/>
            <w:gridSpan w:val="6"/>
            <w:shd w:val="clear" w:color="auto" w:fill="CCEEFF"/>
          </w:tcPr>
          <w:p>
            <w:pPr>
              <w:ind w:left="178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 33,415</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​249,003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7197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37197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21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Depreciation expense was RMB4.9 million, RMB10.4 million and RMB60.3 million for the years ended December 31, 2022, 2023 and 2024, respectively.</w:t>
      </w:r>
    </w:p>
    <w:p>
      <w:pPr>
        <w:sectPr>
          <w:pgSz w:w="11900" w:h="16838" w:orient="portrait"/>
          <w:cols w:equalWidth="0" w:num="1">
            <w:col w:w="9879"/>
          </w:cols>
          <w:pgMar w:left="580" w:top="97" w:right="1440" w:bottom="1440" w:gutter="0" w:footer="0" w:header="0"/>
          <w:type w:val="continuous"/>
        </w:sectPr>
      </w:pP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8. BUSINESS COMBINATION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movement of goodwill is set out as below:</w:t>
      </w: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16510</wp:posOffset>
            </wp:positionV>
            <wp:extent cx="4749165" cy="1714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Balance as of January 1, 2024</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Addition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68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Balance as of December 31, 2024</w:t>
      </w:r>
    </w:p>
    <w:p>
      <w:pPr>
        <w:spacing w:after="0" w:line="3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Chagee (M) Sdn. Bhd Acquisition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 xml:space="preserve">RMB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40"/>
        <w:spacing w:after="0"/>
        <w:tabs>
          <w:tab w:leader="none" w:pos="5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ind w:left="40"/>
        <w:spacing w:after="0" w:line="193"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​11,837</w:t>
      </w:r>
      <w:r>
        <w:rPr>
          <w:rFonts w:ascii="Times New Roman" w:cs="Times New Roman" w:eastAsia="Times New Roman" w:hAnsi="Times New Roman"/>
          <w:sz w:val="35"/>
          <w:szCs w:val="35"/>
          <w:color w:val="auto"/>
          <w:vertAlign w:val="subscript"/>
        </w:rPr>
        <w:t>​</w:t>
      </w:r>
    </w:p>
    <w:p>
      <w:pPr>
        <w:ind w:left="40"/>
        <w:spacing w:after="0" w:line="185"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b w:val="1"/>
          <w:bCs w:val="1"/>
          <w:u w:val="single" w:color="auto"/>
          <w:color w:val="auto"/>
        </w:rPr>
        <w:t>​11,837</w:t>
      </w:r>
      <w:r>
        <w:rPr>
          <w:rFonts w:ascii="Times New Roman" w:cs="Times New Roman" w:eastAsia="Times New Roman" w:hAnsi="Times New Roman"/>
          <w:sz w:val="35"/>
          <w:szCs w:val="35"/>
          <w:color w:val="auto"/>
          <w:vertAlign w:val="subscript"/>
        </w:rPr>
        <w:t>​</w:t>
      </w:r>
    </w:p>
    <w:p>
      <w:pPr>
        <w:spacing w:after="0" w:line="658" w:lineRule="exact"/>
        <w:rPr>
          <w:sz w:val="20"/>
          <w:szCs w:val="20"/>
          <w:color w:val="auto"/>
        </w:rPr>
      </w:pPr>
    </w:p>
    <w:p>
      <w:pPr>
        <w:sectPr>
          <w:pgSz w:w="11900" w:h="16838" w:orient="portrait"/>
          <w:cols w:equalWidth="0" w:num="2">
            <w:col w:w="7660" w:space="720"/>
            <w:col w:w="1499"/>
          </w:cols>
          <w:pgMar w:left="580" w:top="97" w:right="1440" w:bottom="1440" w:gutter="0" w:footer="0" w:header="0"/>
          <w:type w:val="continuous"/>
        </w:sect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On February 5, 2024, the Group acquired 51% interests in Chagee (M) Sdn. Bhd. (“Chagee (M)”) from third parties. Chagee (M) was engaged in the business of freshly-made tea drinks. Pursuant to the share purchase agreement, the purchase consideration was Ringgit Malaysia 13.5 million (equivalent to RMB20.3 million), which was paid upon the closing date of the acquisition. The acquisition was completed in March 2024 when the Group obtained control over Chagee (M) and consolidated it since the acquisition date. Through the acquisition of Chagee (M), the Group manages franchise businesses and can expand its teahouse network in Malaysia which will further strengthen its business presence and will help it to explore expansion opportunities on a global scale.</w:t>
      </w:r>
    </w:p>
    <w:p>
      <w:pPr>
        <w:spacing w:after="0" w:line="337"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identifiable assets acquired and liabilities assumed in the business combination were recorded at their fair values on the acquisition date and consisted of the following major items.</w:t>
      </w:r>
    </w:p>
    <w:tbl>
      <w:tblPr>
        <w:tblLayout w:type="fixed"/>
        <w:tblInd w:w="1620" w:type="dxa"/>
        <w:tblCellMar>
          <w:top w:w="0" w:type="dxa"/>
          <w:left w:w="0" w:type="dxa"/>
          <w:bottom w:w="0" w:type="dxa"/>
          <w:right w:w="0" w:type="dxa"/>
        </w:tblCellMar>
      </w:tblPr>
      <w:tr>
        <w:trPr>
          <w:trHeight w:val="378"/>
        </w:trPr>
        <w:tc>
          <w:tcPr>
            <w:tcW w:w="6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3"/>
          </w:tcPr>
          <w:p>
            <w:pPr>
              <w:ind w:left="48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Amount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6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12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20,350​</w:t>
            </w: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Non-controlling interests</w:t>
            </w:r>
            <w:r>
              <w:rPr>
                <w:rFonts w:ascii="Times New Roman" w:cs="Times New Roman" w:eastAsia="Times New Roman" w:hAnsi="Times New Roman"/>
                <w:sz w:val="23"/>
                <w:szCs w:val="23"/>
                <w:color w:val="auto"/>
                <w:vertAlign w:val="superscript"/>
              </w:rPr>
              <w:t>(i)</w:t>
            </w:r>
          </w:p>
        </w:tc>
        <w:tc>
          <w:tcPr>
            <w:tcW w:w="7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220" w:type="dxa"/>
            <w:vAlign w:val="bottom"/>
          </w:tcPr>
          <w:p>
            <w:pPr>
              <w:spacing w:after="0"/>
              <w:rPr>
                <w:sz w:val="5"/>
                <w:szCs w:val="5"/>
                <w:color w:val="auto"/>
              </w:rPr>
            </w:pPr>
          </w:p>
        </w:tc>
        <w:tc>
          <w:tcPr>
            <w:tcW w:w="800" w:type="dxa"/>
            <w:vAlign w:val="bottom"/>
            <w:gridSpan w:val="2"/>
          </w:tcPr>
          <w:p>
            <w:pPr>
              <w:ind w:left="540"/>
              <w:spacing w:after="0" w:line="68" w:lineRule="exact"/>
              <w:rPr>
                <w:sz w:val="20"/>
                <w:szCs w:val="20"/>
                <w:color w:val="auto"/>
              </w:rPr>
            </w:pPr>
            <w:r>
              <w:rPr>
                <w:rFonts w:ascii="Times New Roman" w:cs="Times New Roman" w:eastAsia="Times New Roman" w:hAnsi="Times New Roman"/>
                <w:sz w:val="7"/>
                <w:szCs w:val="7"/>
                <w:color w:val="auto"/>
              </w:rPr>
              <w:t>​ ​​</w:t>
            </w:r>
          </w:p>
        </w:tc>
        <w:tc>
          <w:tcPr>
            <w:tcW w:w="46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2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gridSpan w:val="3"/>
            <w:shd w:val="clear" w:color="auto" w:fill="CCEEFF"/>
          </w:tcPr>
          <w:p>
            <w:pPr>
              <w:ind w:left="5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​39,826</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Recognized amounts of identifiable assets acquired and liabilities assumed:</w:t>
            </w: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20" w:type="dxa"/>
            <w:vAlign w:val="bottom"/>
            <w:vMerge w:val="continue"/>
          </w:tcPr>
          <w:p>
            <w:pPr>
              <w:spacing w:after="0"/>
              <w:rPr>
                <w:sz w:val="16"/>
                <w:szCs w:val="16"/>
                <w:color w:val="auto"/>
              </w:rPr>
            </w:pPr>
          </w:p>
        </w:tc>
        <w:tc>
          <w:tcPr>
            <w:tcW w:w="800" w:type="dxa"/>
            <w:vAlign w:val="bottom"/>
            <w:gridSpan w:val="2"/>
          </w:tcPr>
          <w:p>
            <w:pPr>
              <w:ind w:left="540"/>
              <w:spacing w:after="0" w:line="190" w:lineRule="exact"/>
              <w:rPr>
                <w:sz w:val="20"/>
                <w:szCs w:val="20"/>
                <w:color w:val="auto"/>
              </w:rPr>
            </w:pP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t>
            </w:r>
          </w:p>
        </w:tc>
        <w:tc>
          <w:tcPr>
            <w:tcW w:w="460" w:type="dxa"/>
            <w:vAlign w:val="bottom"/>
          </w:tcPr>
          <w:p>
            <w:pPr>
              <w:spacing w:after="0"/>
              <w:rPr>
                <w:sz w:val="16"/>
                <w:szCs w:val="16"/>
                <w:color w:val="auto"/>
              </w:rPr>
            </w:pPr>
          </w:p>
        </w:tc>
        <w:tc>
          <w:tcPr>
            <w:tcW w:w="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5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4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30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21,298​</w:t>
            </w:r>
          </w:p>
        </w:tc>
        <w:tc>
          <w:tcPr>
            <w:tcW w:w="0" w:type="dxa"/>
            <w:vAlign w:val="bottom"/>
          </w:tcPr>
          <w:p>
            <w:pPr>
              <w:spacing w:after="0"/>
              <w:rPr>
                <w:sz w:val="1"/>
                <w:szCs w:val="1"/>
                <w:color w:val="auto"/>
              </w:rPr>
            </w:pPr>
          </w:p>
        </w:tc>
      </w:tr>
      <w:tr>
        <w:trPr>
          <w:trHeight w:val="257"/>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2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23,457​</w:t>
            </w:r>
          </w:p>
        </w:tc>
        <w:tc>
          <w:tcPr>
            <w:tcW w:w="4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-1028065</wp:posOffset>
            </wp:positionV>
            <wp:extent cx="440626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4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3" w:name="page244"/>
    <w:bookmarkEnd w:id="2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8. BUSINESS COMBINATION (continued)</w:t>
      </w:r>
    </w:p>
    <w:p>
      <w:pPr>
        <w:spacing w:after="0" w:line="57" w:lineRule="exact"/>
        <w:rPr>
          <w:sz w:val="20"/>
          <w:szCs w:val="20"/>
          <w:color w:val="auto"/>
        </w:rPr>
      </w:pPr>
    </w:p>
    <w:tbl>
      <w:tblPr>
        <w:tblLayout w:type="fixed"/>
        <w:tblInd w:w="1620" w:type="dxa"/>
        <w:tblCellMar>
          <w:top w:w="0" w:type="dxa"/>
          <w:left w:w="0" w:type="dxa"/>
          <w:bottom w:w="0" w:type="dxa"/>
          <w:right w:w="0" w:type="dxa"/>
        </w:tblCellMar>
      </w:tblPr>
      <w:tr>
        <w:trPr>
          <w:trHeight w:val="379"/>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40" w:type="dxa"/>
            <w:vAlign w:val="bottom"/>
            <w:gridSpan w:val="2"/>
          </w:tcPr>
          <w:p>
            <w:pPr>
              <w:ind w:left="22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196"/>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40" w:type="dxa"/>
            <w:vAlign w:val="bottom"/>
            <w:gridSpan w:val="2"/>
          </w:tcPr>
          <w:p>
            <w:pPr>
              <w:ind w:left="22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7"/>
                <w:szCs w:val="17"/>
                <w:color w:val="auto"/>
              </w:rPr>
            </w:pPr>
          </w:p>
        </w:tc>
        <w:tc>
          <w:tcPr>
            <w:tcW w:w="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80" w:type="dxa"/>
            <w:vAlign w:val="bottom"/>
            <w:shd w:val="clear" w:color="auto" w:fill="CCEEFF"/>
          </w:tcPr>
          <w:p>
            <w:pPr>
              <w:spacing w:after="0"/>
              <w:rPr>
                <w:sz w:val="22"/>
                <w:szCs w:val="22"/>
                <w:color w:val="auto"/>
              </w:rPr>
            </w:pPr>
          </w:p>
        </w:tc>
        <w:tc>
          <w:tcPr>
            <w:tcW w:w="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13,070</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2280" w:type="dxa"/>
            <w:vAlign w:val="bottom"/>
          </w:tcPr>
          <w:p>
            <w:pPr>
              <w:spacing w:after="0"/>
              <w:rPr>
                <w:sz w:val="22"/>
                <w:szCs w:val="22"/>
                <w:color w:val="auto"/>
              </w:rPr>
            </w:pP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(2,149​)</w:t>
            </w: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80" w:type="dxa"/>
            <w:vAlign w:val="bottom"/>
            <w:shd w:val="clear" w:color="auto" w:fill="CCEEFF"/>
          </w:tcPr>
          <w:p>
            <w:pPr>
              <w:spacing w:after="0"/>
              <w:rPr>
                <w:sz w:val="22"/>
                <w:szCs w:val="22"/>
                <w:color w:val="auto"/>
              </w:rPr>
            </w:pPr>
          </w:p>
        </w:tc>
        <w:tc>
          <w:tcPr>
            <w:tcW w:w="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​​(20,971</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80" w:type="dxa"/>
            <w:vAlign w:val="bottom"/>
          </w:tcPr>
          <w:p>
            <w:pPr>
              <w:spacing w:after="0"/>
              <w:rPr>
                <w:sz w:val="22"/>
                <w:szCs w:val="22"/>
                <w:color w:val="auto"/>
              </w:rPr>
            </w:pP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​​(18,087​)</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(ii)</w:t>
            </w:r>
          </w:p>
        </w:tc>
        <w:tc>
          <w:tcPr>
            <w:tcW w:w="228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 11,837</w:t>
            </w:r>
          </w:p>
        </w:tc>
        <w:tc>
          <w:tcPr>
            <w:tcW w:w="60" w:type="dxa"/>
            <w:vAlign w:val="bottom"/>
            <w:tcBorders>
              <w:left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400" w:type="dxa"/>
            <w:vAlign w:val="bottom"/>
            <w:shd w:val="clear" w:color="auto" w:fill="CCEEFF"/>
          </w:tcPr>
          <w:p>
            <w:pPr>
              <w:spacing w:after="0"/>
              <w:rPr>
                <w:sz w:val="5"/>
                <w:szCs w:val="5"/>
                <w:color w:val="auto"/>
              </w:rPr>
            </w:pPr>
          </w:p>
        </w:tc>
        <w:tc>
          <w:tcPr>
            <w:tcW w:w="228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64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tcBorders>
              <w:left w:val="single" w:sz="8" w:color="CCEE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80" w:type="dxa"/>
            <w:vAlign w:val="bottom"/>
          </w:tcPr>
          <w:p>
            <w:pPr>
              <w:spacing w:after="0"/>
              <w:rPr>
                <w:sz w:val="22"/>
                <w:szCs w:val="22"/>
                <w:color w:val="auto"/>
              </w:rPr>
            </w:pPr>
          </w:p>
        </w:tc>
        <w:tc>
          <w:tcPr>
            <w:tcW w:w="860" w:type="dxa"/>
            <w:vAlign w:val="bottom"/>
            <w:gridSpan w:val="4"/>
          </w:tcPr>
          <w:p>
            <w:pPr>
              <w:ind w:left="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 39,826</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4" w:lineRule="exact"/>
        <w:rPr>
          <w:sz w:val="20"/>
          <w:szCs w:val="20"/>
          <w:color w:val="auto"/>
        </w:rPr>
      </w:pPr>
    </w:p>
    <w:p>
      <w:pPr>
        <w:jc w:val="both"/>
        <w:ind w:left="1620" w:right="419" w:hanging="360"/>
        <w:spacing w:after="0" w:line="266" w:lineRule="auto"/>
        <w:tabs>
          <w:tab w:leader="none" w:pos="16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Non-controlling interests represent the interests allocated to the minority shareholders of Chagee (M). Fair value of the non-controlling interests was estimated with reference to the purchase price per share as of the acquisition date.</w:t>
      </w:r>
    </w:p>
    <w:p>
      <w:pPr>
        <w:spacing w:after="0" w:line="54"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represents the excess of the purchase price over the fair value of the identifiable assets acquired and liabilities assumed in the acquisition. Goodwill primarily represents the expected synergies from combining operations of Chagee (M) in Malaysia with those of the Group.</w:t>
      </w:r>
    </w:p>
    <w:p>
      <w:pPr>
        <w:spacing w:after="0" w:line="108" w:lineRule="exact"/>
        <w:rPr>
          <w:sz w:val="20"/>
          <w:szCs w:val="20"/>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The acquired business is not considered material to the Group, thus the revenue and net income of Chagee (M) included in the consolidated financial statement for the period from the acquisition date is not disclosed, and the pro-forma financial information as the result of the business combination is not disclosed.</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9. OTHER NON-CURRENT ASSETS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non-current assets consist of the following:</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12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6"/>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7"/>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RMB</w:t>
            </w:r>
          </w:p>
        </w:tc>
      </w:tr>
      <w:tr>
        <w:trPr>
          <w:trHeight w:val="25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rental deposits</w:t>
            </w:r>
          </w:p>
        </w:tc>
        <w:tc>
          <w:tcPr>
            <w:tcW w:w="12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​​14,478</w:t>
            </w:r>
          </w:p>
        </w:tc>
        <w:tc>
          <w:tcPr>
            <w:tcW w:w="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​​69,046</w:t>
            </w: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for property, equipment and software</w:t>
            </w:r>
          </w:p>
        </w:tc>
        <w:tc>
          <w:tcPr>
            <w:tcW w:w="12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2,707</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​​12,991</w:t>
            </w:r>
          </w:p>
        </w:tc>
      </w:tr>
      <w:tr>
        <w:trPr>
          <w:trHeight w:val="27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2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1,769</w:t>
            </w:r>
          </w:p>
        </w:tc>
        <w:tc>
          <w:tcPr>
            <w:tcW w:w="720" w:type="dxa"/>
            <w:vAlign w:val="bottom"/>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7,306</w:t>
            </w:r>
          </w:p>
        </w:tc>
      </w:tr>
      <w:tr>
        <w:trPr>
          <w:trHeight w:val="20"/>
        </w:trPr>
        <w:tc>
          <w:tcPr>
            <w:tcW w:w="49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63"/>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18,954</w:t>
            </w:r>
          </w:p>
        </w:tc>
        <w:tc>
          <w:tcPr>
            <w:tcW w:w="720" w:type="dxa"/>
            <w:vAlign w:val="bottom"/>
            <w:gridSpan w:val="2"/>
          </w:tcPr>
          <w:p>
            <w:pPr>
              <w:ind w:left="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89,343</w:t>
            </w:r>
          </w:p>
        </w:tc>
      </w:tr>
      <w:tr>
        <w:trPr>
          <w:trHeight w:val="20"/>
        </w:trPr>
        <w:tc>
          <w:tcPr>
            <w:tcW w:w="4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ACCOUNTS PAYABLE</w:t>
      </w:r>
    </w:p>
    <w:p>
      <w:pPr>
        <w:spacing w:after="0" w:line="162" w:lineRule="exact"/>
        <w:rPr>
          <w:sz w:val="20"/>
          <w:szCs w:val="20"/>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These amounts represent liabilities for goods and services provided to the Group prior to the end of financial year which are unpaid. The amounts are unsecured and are usually paid within 30 days of recognition. Accounts payable mainly comprise payments for goods and services payables to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4" w:name="page245"/>
    <w:bookmarkEnd w:id="2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ACCOUNTS PAYABLE (continued)</w:t>
      </w:r>
    </w:p>
    <w:p>
      <w:pPr>
        <w:sectPr>
          <w:pgSz w:w="11900" w:h="16838" w:orient="portrait"/>
          <w:cols w:equalWidth="0" w:num="1">
            <w:col w:w="9879"/>
          </w:cols>
          <w:pgMar w:left="580" w:top="97" w:right="1440" w:bottom="1440" w:gutter="0" w:footer="0" w:header="0"/>
        </w:sectPr>
      </w:pPr>
    </w:p>
    <w:p>
      <w:pPr>
        <w:spacing w:after="0" w:line="229" w:lineRule="exact"/>
        <w:rPr>
          <w:sz w:val="20"/>
          <w:szCs w:val="20"/>
          <w:color w:val="auto"/>
        </w:rPr>
      </w:pPr>
    </w:p>
    <w:p>
      <w:pPr>
        <w:jc w:val="right"/>
        <w:ind w:right="2240"/>
        <w:spacing w:after="0"/>
        <w:rPr>
          <w:sz w:val="20"/>
          <w:szCs w:val="20"/>
          <w:color w:val="auto"/>
        </w:rPr>
      </w:pPr>
      <w:r>
        <w:rPr>
          <w:rFonts w:ascii="Times New Roman" w:cs="Times New Roman" w:eastAsia="Times New Roman" w:hAnsi="Times New Roman"/>
          <w:sz w:val="18"/>
          <w:szCs w:val="18"/>
          <w:color w:val="auto"/>
        </w:rPr>
        <w:t>Accounts payable consist of the following:</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6256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4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19" w:lineRule="exact"/>
        <w:rPr>
          <w:sz w:val="20"/>
          <w:szCs w:val="20"/>
          <w:color w:val="auto"/>
        </w:rPr>
      </w:pPr>
    </w:p>
    <w:p>
      <w:pPr>
        <w:sectPr>
          <w:pgSz w:w="11900" w:h="16838" w:orient="portrait"/>
          <w:cols w:equalWidth="0" w:num="2">
            <w:col w:w="7100" w:space="720"/>
            <w:col w:w="205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Raw materials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Packaging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Equipment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Decoration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Storage and logistics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74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1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11. TAXES PAYABLE</w:t>
      </w:r>
    </w:p>
    <w:p>
      <w:pPr>
        <w:spacing w:after="0" w:line="162" w:lineRule="exact"/>
        <w:rPr>
          <w:sz w:val="20"/>
          <w:szCs w:val="20"/>
          <w:color w:val="auto"/>
        </w:rPr>
      </w:pPr>
    </w:p>
    <w:p>
      <w:pPr>
        <w:jc w:val="right"/>
        <w:ind w:right="2520"/>
        <w:spacing w:after="0"/>
        <w:rPr>
          <w:sz w:val="20"/>
          <w:szCs w:val="20"/>
          <w:color w:val="auto"/>
        </w:rPr>
      </w:pPr>
      <w:r>
        <w:rPr>
          <w:rFonts w:ascii="Times New Roman" w:cs="Times New Roman" w:eastAsia="Times New Roman" w:hAnsi="Times New Roman"/>
          <w:sz w:val="18"/>
          <w:szCs w:val="18"/>
          <w:color w:val="auto"/>
        </w:rPr>
        <w:t>Taxes payable consist of the following:</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6319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Times New Roman" w:cs="Times New Roman" w:eastAsia="Times New Roman" w:hAnsi="Times New Roman"/>
          <w:sz w:val="18"/>
          <w:szCs w:val="18"/>
          <w:color w:val="auto"/>
        </w:rPr>
        <w:t>​ ​​245,443​​ ​​387,884​</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92,503​​ ​​127,653​</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62,707​​ ​​ 40,700​</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20,597​​ ​​ 17,065​</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21,746​​ ​​ 20,346​</w:t>
      </w:r>
    </w:p>
    <w:p>
      <w:pPr>
        <w:ind w:left="60"/>
        <w:spacing w:after="0" w:line="190" w:lineRule="auto"/>
        <w:tabs>
          <w:tab w:leader="none" w:pos="400" w:val="left"/>
          <w:tab w:leader="none" w:pos="1220" w:val="left"/>
        </w:tabs>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5,323</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w:t>
        <w:tab/>
        <w:t>3,443</w:t>
      </w:r>
      <w:r>
        <w:rPr>
          <w:rFonts w:ascii="Times New Roman" w:cs="Times New Roman" w:eastAsia="Times New Roman" w:hAnsi="Times New Roman"/>
          <w:sz w:val="35"/>
          <w:szCs w:val="35"/>
          <w:color w:val="auto"/>
          <w:vertAlign w:val="subscript"/>
        </w:rPr>
        <w:t>​</w:t>
      </w:r>
    </w:p>
    <w:p>
      <w:pPr>
        <w:ind w:left="60"/>
        <w:spacing w:after="0" w:line="185" w:lineRule="auto"/>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​448,319</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​597,091</w:t>
      </w:r>
      <w:r>
        <w:rPr>
          <w:rFonts w:ascii="Times New Roman" w:cs="Times New Roman" w:eastAsia="Times New Roman" w:hAnsi="Times New Roman"/>
          <w:sz w:val="35"/>
          <w:szCs w:val="35"/>
          <w:b w:val="1"/>
          <w:bCs w:val="1"/>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4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19" w:lineRule="exact"/>
        <w:rPr>
          <w:sz w:val="20"/>
          <w:szCs w:val="20"/>
          <w:color w:val="auto"/>
        </w:rPr>
      </w:pPr>
    </w:p>
    <w:p>
      <w:pPr>
        <w:sectPr>
          <w:pgSz w:w="11900" w:h="16838" w:orient="portrait"/>
          <w:cols w:equalWidth="0" w:num="2">
            <w:col w:w="7100" w:space="720"/>
            <w:col w:w="205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VAT payable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Enterprise 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Withholding individual income taxes for employees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Surtaxes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1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9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 84,408​​</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19,780​</w:t>
            </w:r>
          </w:p>
        </w:tc>
      </w:tr>
      <w:tr>
        <w:trPr>
          <w:trHeight w:val="257"/>
        </w:trPr>
        <w:tc>
          <w:tcPr>
            <w:tcW w:w="9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​​157,522​​</w:t>
            </w: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​​189,717​</w:t>
            </w:r>
          </w:p>
        </w:tc>
      </w:tr>
      <w:tr>
        <w:trPr>
          <w:trHeight w:val="256"/>
        </w:trPr>
        <w:tc>
          <w:tcPr>
            <w:tcW w:w="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30,057​​</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60" w:type="dxa"/>
            <w:vAlign w:val="bottom"/>
            <w:gridSpan w:val="2"/>
          </w:tcPr>
          <w:p>
            <w:pPr>
              <w:jc w:val="right"/>
              <w:ind w:right="40"/>
              <w:spacing w:after="0" w:line="247" w:lineRule="exact"/>
              <w:rPr>
                <w:sz w:val="20"/>
                <w:szCs w:val="20"/>
                <w:color w:val="auto"/>
              </w:rPr>
            </w:pPr>
            <w:r>
              <w:rPr>
                <w:rFonts w:ascii="Times New Roman" w:cs="Times New Roman" w:eastAsia="Times New Roman" w:hAnsi="Times New Roman"/>
                <w:sz w:val="15"/>
                <w:szCs w:val="15"/>
                <w:color w:val="auto"/>
              </w:rPr>
              <w:t>8,895</w:t>
            </w:r>
            <w:r>
              <w:rPr>
                <w:rFonts w:ascii="Times New Roman" w:cs="Times New Roman" w:eastAsia="Times New Roman" w:hAnsi="Times New Roman"/>
                <w:sz w:val="28"/>
                <w:szCs w:val="28"/>
                <w:color w:val="auto"/>
                <w:vertAlign w:val="subscript"/>
              </w:rPr>
              <w:t>​​</w:t>
            </w:r>
          </w:p>
        </w:tc>
        <w:tc>
          <w:tcPr>
            <w:tcW w:w="220" w:type="dxa"/>
            <w:vAlign w:val="bottom"/>
            <w:gridSpan w:val="3"/>
          </w:tcPr>
          <w:p>
            <w:pPr>
              <w:ind w:left="2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2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7,890</w:t>
            </w:r>
            <w:r>
              <w:rPr>
                <w:rFonts w:ascii="Times New Roman" w:cs="Times New Roman" w:eastAsia="Times New Roman" w:hAnsi="Times New Roman"/>
                <w:sz w:val="28"/>
                <w:szCs w:val="28"/>
                <w:color w:val="auto"/>
                <w:vertAlign w:val="subscript"/>
              </w:rPr>
              <w:t>​</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jc w:val="right"/>
              <w:ind w:righ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​280,882</w:t>
            </w:r>
            <w:r>
              <w:rPr>
                <w:rFonts w:ascii="Times New Roman" w:cs="Times New Roman" w:eastAsia="Times New Roman" w:hAnsi="Times New Roman"/>
                <w:sz w:val="28"/>
                <w:szCs w:val="28"/>
                <w:color w:val="auto"/>
                <w:vertAlign w:val="subscript"/>
              </w:rPr>
              <w:t>​​</w:t>
            </w:r>
          </w:p>
        </w:tc>
        <w:tc>
          <w:tcPr>
            <w:tcW w:w="74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​217,387</w:t>
            </w:r>
            <w:r>
              <w:rPr>
                <w:rFonts w:ascii="Times New Roman" w:cs="Times New Roman" w:eastAsia="Times New Roman" w:hAnsi="Times New Roman"/>
                <w:sz w:val="28"/>
                <w:szCs w:val="28"/>
                <w:color w:val="auto"/>
                <w:vertAlign w:val="subscript"/>
              </w:rPr>
              <w:t>​</w:t>
            </w:r>
          </w:p>
        </w:tc>
      </w:tr>
      <w:tr>
        <w:trPr>
          <w:trHeight w:val="21"/>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60" w:space="720"/>
            <w:col w:w="1999"/>
          </w:cols>
          <w:pgMar w:left="580" w:top="97" w:right="1440" w:bottom="1440" w:gutter="0" w:footer="0" w:header="0"/>
          <w:type w:val="continuous"/>
        </w:sectPr>
      </w:pPr>
    </w:p>
    <w:p>
      <w:pPr>
        <w:spacing w:after="0" w:line="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12. ACCRUED EXPENSES AND OTHER CURRENT LIABILITIES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0" w:type="dxa"/>
            <w:vAlign w:val="bottom"/>
          </w:tcPr>
          <w:p>
            <w:pPr>
              <w:ind w:left="3180"/>
              <w:spacing w:after="0"/>
              <w:rPr>
                <w:sz w:val="20"/>
                <w:szCs w:val="20"/>
                <w:color w:val="auto"/>
              </w:rPr>
            </w:pPr>
            <w:r>
              <w:rPr>
                <w:rFonts w:ascii="Times New Roman" w:cs="Times New Roman" w:eastAsia="Times New Roman" w:hAnsi="Times New Roman"/>
                <w:sz w:val="14"/>
                <w:szCs w:val="14"/>
                <w:b w:val="1"/>
                <w:bCs w:val="1"/>
                <w:color w:val="auto"/>
              </w:rPr>
              <w:t>​ ​</w:t>
            </w:r>
          </w:p>
        </w:tc>
        <w:tc>
          <w:tcPr>
            <w:tcW w:w="15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0" w:type="dxa"/>
            <w:vAlign w:val="bottom"/>
          </w:tcPr>
          <w:p>
            <w:pPr>
              <w:ind w:left="324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0" w:type="dxa"/>
            <w:vAlign w:val="bottom"/>
          </w:tcPr>
          <w:p>
            <w:pPr>
              <w:ind w:left="324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6319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Accrued employee payroll and welfare benefits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Franchise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Accrued service fees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Payables for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03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Others</w:t>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​​271,693​​ ​​ 468,835​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93,842​​ ​​ 143,974​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83,144​​ ​​ 249,292​</w:t>
      </w:r>
    </w:p>
    <w:p>
      <w:pPr>
        <w:spacing w:after="0" w:line="50" w:lineRule="exact"/>
        <w:rPr>
          <w:sz w:val="20"/>
          <w:szCs w:val="20"/>
          <w:color w:val="auto"/>
        </w:rPr>
      </w:pPr>
    </w:p>
    <w:p>
      <w:pPr>
        <w:spacing w:after="0"/>
        <w:tabs>
          <w:tab w:leader="none" w:pos="340" w:val="left"/>
          <w:tab w:leader="none" w:pos="1220" w:val="left"/>
        </w:tabs>
        <w:rPr>
          <w:sz w:val="20"/>
          <w:szCs w:val="20"/>
          <w:color w:val="auto"/>
        </w:rPr>
      </w:pPr>
      <w:r>
        <w:rPr>
          <w:rFonts w:ascii="Times New Roman" w:cs="Times New Roman" w:eastAsia="Times New Roman" w:hAnsi="Times New Roman"/>
          <w:sz w:val="18"/>
          <w:szCs w:val="18"/>
          <w:color w:val="auto"/>
        </w:rPr>
        <w:t>​ ​​</w:t>
        <w:tab/>
        <w:t>2,034​​ ​​</w:t>
        <w:tab/>
        <w:t>45,202​</w:t>
      </w:r>
    </w:p>
    <w:p>
      <w:pPr>
        <w:spacing w:after="0" w:line="190"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 16,575</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 115,368</w:t>
      </w:r>
      <w:r>
        <w:rPr>
          <w:rFonts w:ascii="Times New Roman" w:cs="Times New Roman" w:eastAsia="Times New Roman" w:hAnsi="Times New Roman"/>
          <w:sz w:val="35"/>
          <w:szCs w:val="35"/>
          <w:color w:val="auto"/>
          <w:vertAlign w:val="subscript"/>
        </w:rPr>
        <w:t>​</w:t>
      </w:r>
    </w:p>
    <w:p>
      <w:pPr>
        <w:spacing w:after="0" w:line="185" w:lineRule="auto"/>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​467,288</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​1,022,671</w:t>
      </w:r>
      <w:r>
        <w:rPr>
          <w:rFonts w:ascii="Times New Roman" w:cs="Times New Roman" w:eastAsia="Times New Roman" w:hAnsi="Times New Roman"/>
          <w:sz w:val="35"/>
          <w:szCs w:val="35"/>
          <w:b w:val="1"/>
          <w:bCs w:val="1"/>
          <w:color w:val="auto"/>
          <w:vertAlign w:val="subscript"/>
        </w:rPr>
        <w:t>​</w:t>
      </w:r>
    </w:p>
    <w:p>
      <w:pPr>
        <w:spacing w:after="0" w:line="200" w:lineRule="exact"/>
        <w:rPr>
          <w:sz w:val="20"/>
          <w:szCs w:val="20"/>
          <w:color w:val="auto"/>
        </w:rPr>
      </w:pPr>
    </w:p>
    <w:p>
      <w:pPr>
        <w:sectPr>
          <w:pgSz w:w="11900" w:h="16838" w:orient="portrait"/>
          <w:cols w:equalWidth="0" w:num="2">
            <w:col w:w="7020" w:space="720"/>
            <w:col w:w="2139"/>
          </w:cols>
          <w:pgMar w:left="580" w:top="97" w:right="1440" w:bottom="1440" w:gutter="0" w:footer="0" w:header="0"/>
          <w:type w:val="continuous"/>
        </w:sectPr>
      </w:pPr>
    </w:p>
    <w:p>
      <w:pPr>
        <w:spacing w:after="0" w:line="39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5" w:name="page246"/>
    <w:bookmarkEnd w:id="2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Group has operating leases for corporate offices and company-owned teahouses with the lease terms from within 3 months to 6 years, some of which include options to terminate the leases within certain periods. For operating leases with terms greater than 12 months, the Group records the related assets and lease liabilities at the present value of lease payments over the terms. Certain leases include rental escalation clauses, renewal options and/or termination option, which are factored into the Group’s determination of lease payments when appropriate.</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Pr>
          <w:p>
            <w:pPr>
              <w:ind w:left="18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14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202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​​114,223​​</w:t>
            </w:r>
          </w:p>
        </w:tc>
        <w:tc>
          <w:tcPr>
            <w:tcW w:w="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​​542,202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52,593​​</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​​195,438​</w:t>
            </w:r>
          </w:p>
        </w:tc>
      </w:tr>
      <w:tr>
        <w:trPr>
          <w:trHeight w:val="25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2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56,245​​</w:t>
            </w:r>
          </w:p>
        </w:tc>
        <w:tc>
          <w:tcPr>
            <w:tcW w:w="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​​352,618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44" w:lineRule="exact"/>
        <w:rPr>
          <w:sz w:val="20"/>
          <w:szCs w:val="20"/>
          <w:color w:val="auto"/>
        </w:rPr>
      </w:pPr>
    </w:p>
    <w:p>
      <w:pPr>
        <w:ind w:left="1260" w:right="419" w:firstLine="360"/>
        <w:spacing w:after="0" w:line="297" w:lineRule="auto"/>
        <w:rPr>
          <w:sz w:val="20"/>
          <w:szCs w:val="20"/>
          <w:color w:val="auto"/>
        </w:rPr>
      </w:pPr>
      <w:r>
        <w:rPr>
          <w:rFonts w:ascii="Times New Roman" w:cs="Times New Roman" w:eastAsia="Times New Roman" w:hAnsi="Times New Roman"/>
          <w:sz w:val="18"/>
          <w:szCs w:val="18"/>
          <w:color w:val="auto"/>
        </w:rPr>
        <w:t>The following table provides a summary of the Group’s operating lease expenses and short-term lease expenses for the years ended December 31, 2023 and 2024:</w:t>
      </w:r>
    </w:p>
    <w:p>
      <w:pPr>
        <w:sectPr>
          <w:pgSz w:w="11900" w:h="16838" w:orient="portrait"/>
          <w:cols w:equalWidth="0" w:num="1">
            <w:col w:w="9879"/>
          </w:cols>
          <w:pgMar w:left="580" w:top="97" w:right="1440" w:bottom="1440" w:gutter="0" w:footer="0" w:header="0"/>
        </w:sectPr>
      </w:pPr>
    </w:p>
    <w:p>
      <w:pPr>
        <w:spacing w:after="0" w:line="3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6256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Operating lease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Short-term lease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p>
      <w:pPr>
        <w:spacing w:after="0" w:line="17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Short-term leases represent the leases with a term of 12 months or less.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0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40" w:type="dxa"/>
            <w:vAlign w:val="bottom"/>
          </w:tcPr>
          <w:p>
            <w:pPr>
              <w:spacing w:after="0"/>
              <w:rPr>
                <w:sz w:val="14"/>
                <w:szCs w:val="14"/>
                <w:color w:val="auto"/>
              </w:rPr>
            </w:pPr>
          </w:p>
        </w:tc>
      </w:tr>
      <w:tr>
        <w:trPr>
          <w:trHeight w:val="214"/>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​​30,271​​ ​​46,775​​ ​​152,682​</w:t>
      </w:r>
    </w:p>
    <w:p>
      <w:pPr>
        <w:spacing w:after="0" w:line="54" w:lineRule="exact"/>
        <w:rPr>
          <w:sz w:val="20"/>
          <w:szCs w:val="20"/>
          <w:color w:val="auto"/>
        </w:rPr>
      </w:pPr>
    </w:p>
    <w:p>
      <w:pPr>
        <w:ind w:left="60"/>
        <w:spacing w:after="0"/>
        <w:tabs>
          <w:tab w:leader="none" w:pos="440" w:val="left"/>
        </w:tabs>
        <w:rPr>
          <w:sz w:val="20"/>
          <w:szCs w:val="20"/>
          <w:color w:val="auto"/>
        </w:rPr>
      </w:pPr>
      <w:r>
        <w:rPr>
          <w:rFonts w:ascii="Times New Roman" w:cs="Times New Roman" w:eastAsia="Times New Roman" w:hAnsi="Times New Roman"/>
          <w:sz w:val="18"/>
          <w:szCs w:val="18"/>
          <w:color w:val="auto"/>
        </w:rPr>
        <w:t>​ ​​</w:t>
        <w:tab/>
        <w:t>426​​ ​​ 5,734​​ ​​ 14,697​</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​​31,030​​ ​​50,871​​ ​​144,651​</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​​43,680​​ ​​95,476​​ ​​552,682​</w:t>
      </w:r>
    </w:p>
    <w:p>
      <w:pPr>
        <w:spacing w:after="0" w:line="531" w:lineRule="exact"/>
        <w:rPr>
          <w:sz w:val="20"/>
          <w:szCs w:val="20"/>
          <w:color w:val="auto"/>
        </w:rPr>
      </w:pPr>
    </w:p>
    <w:p>
      <w:pPr>
        <w:sectPr>
          <w:pgSz w:w="11900" w:h="16838" w:orient="portrait"/>
          <w:cols w:equalWidth="0" w:num="2">
            <w:col w:w="6980" w:space="200"/>
            <w:col w:w="2699"/>
          </w:cols>
          <w:pgMar w:left="580" w:top="97" w:right="1440" w:bottom="1440" w:gutter="0" w:footer="0" w:header="0"/>
          <w:type w:val="continuous"/>
        </w:sectPr>
      </w:pPr>
    </w:p>
    <w:p>
      <w:pPr>
        <w:jc w:val="both"/>
        <w:ind w:left="1260" w:right="419" w:firstLine="360"/>
        <w:spacing w:after="0" w:line="285" w:lineRule="auto"/>
        <w:rPr>
          <w:sz w:val="20"/>
          <w:szCs w:val="20"/>
          <w:color w:val="auto"/>
        </w:rPr>
      </w:pPr>
      <w:r>
        <w:rPr>
          <w:rFonts w:ascii="Times New Roman" w:cs="Times New Roman" w:eastAsia="Times New Roman" w:hAnsi="Times New Roman"/>
          <w:sz w:val="18"/>
          <w:szCs w:val="18"/>
          <w:color w:val="auto"/>
        </w:rPr>
        <w:t>The operating lease expenses and short-term lease expenses were recognized in company-owned teahouse operating costs, other operating costs, sales and marketing, and general and administrative expenses.</w:t>
      </w:r>
    </w:p>
    <w:p>
      <w:pPr>
        <w:spacing w:after="0" w:line="33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provides a summary of the Group’s weighted average operating lease terms and weighted average discount rates as of December 31, 2023 and 2024:</w:t>
      </w:r>
    </w:p>
    <w:tbl>
      <w:tblPr>
        <w:tblLayout w:type="fixed"/>
        <w:tblInd w:w="1260" w:type="dxa"/>
        <w:tblCellMar>
          <w:top w:w="0" w:type="dxa"/>
          <w:left w:w="0" w:type="dxa"/>
          <w:bottom w:w="0" w:type="dxa"/>
          <w:right w:w="0" w:type="dxa"/>
        </w:tblCellMar>
      </w:tblPr>
      <w:tr>
        <w:trPr>
          <w:trHeight w:val="378"/>
        </w:trPr>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4"/>
                <w:szCs w:val="24"/>
                <w:color w:val="auto"/>
              </w:rPr>
            </w:pPr>
          </w:p>
        </w:tc>
        <w:tc>
          <w:tcPr>
            <w:tcW w:w="13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As of December 31,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36"/>
        </w:trPr>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gridSpan w:val="2"/>
          </w:tcPr>
          <w:p>
            <w:pPr>
              <w:ind w:left="1560"/>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 ​ ​3.32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52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Weighted average discount rate</w:t>
            </w:r>
          </w:p>
        </w:tc>
        <w:tc>
          <w:tcPr>
            <w:tcW w:w="1660" w:type="dxa"/>
            <w:vAlign w:val="bottom"/>
            <w:vMerge w:val="restart"/>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8"/>
                <w:szCs w:val="18"/>
                <w:color w:val="auto"/>
              </w:rPr>
              <w:t>4.50%</w:t>
            </w:r>
          </w:p>
        </w:tc>
        <w:tc>
          <w:tcPr>
            <w:tcW w:w="5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35"/>
        </w:trPr>
        <w:tc>
          <w:tcPr>
            <w:tcW w:w="5240" w:type="dxa"/>
            <w:vAlign w:val="bottom"/>
          </w:tcPr>
          <w:p>
            <w:pPr>
              <w:spacing w:after="0"/>
              <w:rPr>
                <w:sz w:val="20"/>
                <w:szCs w:val="20"/>
                <w:color w:val="auto"/>
              </w:rPr>
            </w:pPr>
          </w:p>
        </w:tc>
        <w:tc>
          <w:tcPr>
            <w:tcW w:w="166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6" w:name="page247"/>
    <w:bookmarkEnd w:id="246"/>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13. LEASES (continued)</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2024 are as follows:</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6256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the year ending December 31, 2025</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the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the year ending December 31, 2027</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the year ending December 31,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the year ending December 31, 2029</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remaining undiscounted lease payments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Present value of operating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79"/>
        <w:spacing w:after="0" w:line="247" w:lineRule="auto"/>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 ​ </w:t>
      </w:r>
      <w:r>
        <w:rPr>
          <w:rFonts w:ascii="Times New Roman" w:cs="Times New Roman" w:eastAsia="Times New Roman" w:hAnsi="Times New Roman"/>
          <w:sz w:val="28"/>
          <w:szCs w:val="28"/>
          <w:b w:val="1"/>
          <w:bCs w:val="1"/>
          <w:color w:val="auto"/>
          <w:vertAlign w:val="superscript"/>
        </w:rPr>
        <w:t>RMB</w:t>
      </w:r>
      <w:r>
        <w:rPr>
          <w:rFonts w:ascii="Times New Roman" w:cs="Times New Roman" w:eastAsia="Times New Roman" w:hAnsi="Times New Roman"/>
          <w:sz w:val="14"/>
          <w:szCs w:val="14"/>
          <w:b w:val="1"/>
          <w:bCs w:val="1"/>
          <w:color w:val="auto"/>
        </w:rPr>
        <w:t xml:space="preserve"> ​</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​208,911 </w:t>
      </w:r>
      <w:r>
        <w:rPr>
          <w:rFonts w:ascii="Times New Roman" w:cs="Times New Roman" w:eastAsia="Times New Roman" w:hAnsi="Times New Roman"/>
          <w:sz w:val="18"/>
          <w:szCs w:val="18"/>
          <w:b w:val="1"/>
          <w:bCs w:val="1"/>
          <w:color w:val="auto"/>
        </w:rPr>
        <w:t>​</w:t>
      </w:r>
    </w:p>
    <w:p>
      <w:pPr>
        <w:spacing w:after="0" w:line="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​173,886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​108,766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 67,083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 26,047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tabs>
          <w:tab w:leader="none" w:pos="56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b w:val="1"/>
          <w:bCs w:val="1"/>
          <w:color w:val="auto"/>
        </w:rPr>
        <w:t>​</w:t>
      </w:r>
    </w:p>
    <w:p>
      <w:pPr>
        <w:spacing w:after="0" w:line="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​585,307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​(37,251)</w:t>
      </w:r>
      <w:r>
        <w:rPr>
          <w:rFonts w:ascii="Times New Roman" w:cs="Times New Roman" w:eastAsia="Times New Roman" w:hAnsi="Times New Roman"/>
          <w:sz w:val="18"/>
          <w:szCs w:val="18"/>
          <w:b w:val="1"/>
          <w:bCs w:val="1"/>
          <w:color w:val="auto"/>
        </w:rPr>
        <w:t>​</w:t>
      </w:r>
    </w:p>
    <w:p>
      <w:pPr>
        <w:spacing w:after="0" w:line="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​548,056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sectPr>
          <w:pgSz w:w="11900" w:h="16838" w:orient="portrait"/>
          <w:cols w:equalWidth="0" w:num="2">
            <w:col w:w="8440" w:space="140"/>
            <w:col w:w="1299"/>
          </w:cols>
          <w:pgMar w:left="580" w:top="97" w:right="1440" w:bottom="1440" w:gutter="0" w:footer="0" w:header="0"/>
          <w:type w:val="continuous"/>
        </w:sectPr>
      </w:pPr>
    </w:p>
    <w:p>
      <w:pPr>
        <w:jc w:val="both"/>
        <w:ind w:left="1260" w:right="419" w:firstLine="360"/>
        <w:spacing w:after="0" w:line="289" w:lineRule="auto"/>
        <w:rPr>
          <w:sz w:val="20"/>
          <w:szCs w:val="20"/>
          <w:color w:val="auto"/>
        </w:rPr>
      </w:pPr>
      <w:r>
        <w:rPr>
          <w:rFonts w:ascii="Times New Roman" w:cs="Times New Roman" w:eastAsia="Times New Roman" w:hAnsi="Times New Roman"/>
          <w:sz w:val="18"/>
          <w:szCs w:val="18"/>
          <w:color w:val="auto"/>
        </w:rPr>
        <w:t>As of December 31, 2024, the Group has no significant lease contract that have been entered into but not yet commenced. The Group’s lease agreements do not contain any material residual value guarantees or material restrictive covenants.</w:t>
      </w:r>
    </w:p>
    <w:p>
      <w:pPr>
        <w:spacing w:after="0" w:line="1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14. NET REVENUES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Key revenue streams are as below:</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5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5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5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22"/>
                <w:szCs w:val="22"/>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revenues from franchised teahouses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​​410,261​​ ​​4,395,908​​</w:t>
            </w:r>
          </w:p>
        </w:tc>
        <w:tc>
          <w:tcPr>
            <w:tcW w:w="9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​​11,632,374​</w:t>
            </w:r>
          </w:p>
        </w:tc>
      </w:tr>
      <w:tr>
        <w:trPr>
          <w:trHeight w:val="257"/>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 Sales of products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​​389,656​​ ​​4,148,198​​</w:t>
            </w:r>
          </w:p>
        </w:tc>
        <w:tc>
          <w:tcPr>
            <w:tcW w:w="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​​10,788,976</w:t>
            </w: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 Raw materials &amp; packaging</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​​349,444​​ ​​3,585,139​​</w:t>
            </w:r>
          </w:p>
        </w:tc>
        <w:tc>
          <w:tcPr>
            <w:tcW w:w="9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9,890,969​</w:t>
            </w:r>
          </w:p>
        </w:tc>
      </w:tr>
      <w:tr>
        <w:trPr>
          <w:trHeight w:val="257"/>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 Teahouse equipment and other supplies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40,212​​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563,059​​</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898,007</w:t>
            </w: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 Franchising and other services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20,605​​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247,710​​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843,398​</w:t>
            </w:r>
          </w:p>
        </w:tc>
      </w:tr>
      <w:tr>
        <w:trPr>
          <w:trHeight w:val="27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 from company-owned teahouses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81,392</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244,263</w:t>
            </w:r>
            <w:r>
              <w:rPr>
                <w:rFonts w:ascii="Times New Roman" w:cs="Times New Roman" w:eastAsia="Times New Roman" w:hAnsi="Times New Roman"/>
                <w:sz w:val="31"/>
                <w:szCs w:val="31"/>
                <w:color w:val="auto"/>
                <w:vertAlign w:val="subscript"/>
              </w:rPr>
              <w:t>​​</w:t>
            </w:r>
          </w:p>
        </w:tc>
        <w:tc>
          <w:tcPr>
            <w:tcW w:w="240" w:type="dxa"/>
            <w:vAlign w:val="bottom"/>
            <w:gridSpan w:val="2"/>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773,208</w:t>
            </w: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4"/>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7"/>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​491,653</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​4,640,171</w:t>
            </w:r>
            <w:r>
              <w:rPr>
                <w:rFonts w:ascii="Times New Roman" w:cs="Times New Roman" w:eastAsia="Times New Roman" w:hAnsi="Times New Roman"/>
                <w:sz w:val="28"/>
                <w:szCs w:val="28"/>
                <w:b w:val="1"/>
                <w:bCs w:val="1"/>
                <w:color w:val="auto"/>
                <w:vertAlign w:val="subscript"/>
              </w:rPr>
              <w:t>​​</w:t>
            </w:r>
          </w:p>
        </w:tc>
        <w:tc>
          <w:tcPr>
            <w:tcW w:w="940" w:type="dxa"/>
            <w:vAlign w:val="bottom"/>
            <w:gridSpan w:val="5"/>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​12,405,582</w:t>
            </w:r>
            <w:r>
              <w:rPr>
                <w:rFonts w:ascii="Times New Roman" w:cs="Times New Roman" w:eastAsia="Times New Roman" w:hAnsi="Times New Roman"/>
                <w:sz w:val="28"/>
                <w:szCs w:val="28"/>
                <w:b w:val="1"/>
                <w:bCs w:val="1"/>
                <w:color w:val="auto"/>
                <w:vertAlign w:val="subscript"/>
              </w:rPr>
              <w:t>​</w:t>
            </w:r>
          </w:p>
        </w:tc>
      </w:tr>
      <w:tr>
        <w:trPr>
          <w:trHeight w:val="20"/>
        </w:trPr>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The amount of revenue recognized that was included in the contract liabilities balance at the beginning of the year was RMB6.4 million, RMB26.3 million and RMB198.5 million for the years ended December 31, 2022, 2023 and 2024, respectively.</w:t>
      </w:r>
    </w:p>
    <w:p>
      <w:pPr>
        <w:spacing w:after="0" w:line="101" w:lineRule="exact"/>
        <w:rPr>
          <w:sz w:val="20"/>
          <w:szCs w:val="20"/>
          <w:color w:val="auto"/>
        </w:rPr>
      </w:pPr>
    </w:p>
    <w:p>
      <w:pPr>
        <w:jc w:val="both"/>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The contract liabilities comprise of unamortized upfront fees received from franchisees, customer loyalty program points and payments received in advance of transferring control of goods to franchised stores, and are presented within contract liabilities, current and contract liabilities, non-current in consolidated balance sheet. A summary of significant changes to the contract liabilities balances as of December 31, 2022, 2023 and 2024 is presented below.</w:t>
      </w: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7" w:name="page248"/>
    <w:bookmarkEnd w:id="2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14. NET REVENUES (continued)</w:t>
      </w:r>
    </w:p>
    <w:p>
      <w:pPr>
        <w:spacing w:after="0" w:line="22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4"/>
        </w:trPr>
        <w:tc>
          <w:tcPr>
            <w:tcW w:w="7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RMB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7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60" w:type="dxa"/>
            <w:vAlign w:val="bottom"/>
            <w:tcBorders>
              <w:left w:val="single" w:sz="8" w:color="CCEEFF"/>
            </w:tcBorders>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vMerge w:val="continue"/>
            <w:shd w:val="clear" w:color="auto" w:fill="CCEEFF"/>
          </w:tcPr>
          <w:p>
            <w:pPr>
              <w:spacing w:after="0"/>
              <w:rPr>
                <w:sz w:val="21"/>
                <w:szCs w:val="21"/>
                <w:color w:val="auto"/>
              </w:rPr>
            </w:pPr>
          </w:p>
        </w:tc>
        <w:tc>
          <w:tcPr>
            <w:tcW w:w="16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that was included in unamortized upfront fees received from franchisees at the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of the year</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for upfront fees associated with contracts that became effective during the year, net of</w:t>
            </w:r>
          </w:p>
        </w:tc>
        <w:tc>
          <w:tcPr>
            <w:tcW w:w="8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recognized as revenue during the year</w:t>
            </w:r>
          </w:p>
        </w:tc>
        <w:tc>
          <w:tcPr>
            <w:tcW w:w="6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27,183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Increase for payments received in advance of transferring control of goods to franchised stores, and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franchise related service fee, net of amounts recognized as revenue during the year</w:t>
            </w: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14,339​</w:t>
            </w:r>
          </w:p>
        </w:tc>
        <w:tc>
          <w:tcPr>
            <w:tcW w:w="0" w:type="dxa"/>
            <w:vAlign w:val="bottom"/>
          </w:tcPr>
          <w:p>
            <w:pPr>
              <w:spacing w:after="0"/>
              <w:rPr>
                <w:sz w:val="1"/>
                <w:szCs w:val="1"/>
                <w:color w:val="auto"/>
              </w:rPr>
            </w:pPr>
          </w:p>
        </w:tc>
      </w:tr>
      <w:tr>
        <w:trPr>
          <w:trHeight w:val="20"/>
        </w:trPr>
        <w:tc>
          <w:tcPr>
            <w:tcW w:w="75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660" w:type="dxa"/>
            <w:vAlign w:val="bottom"/>
            <w:tcBorders>
              <w:left w:val="single" w:sz="8" w:color="CCEEFF"/>
            </w:tcBorders>
            <w:gridSpan w:val="3"/>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28"/>
                <w:szCs w:val="28"/>
                <w:b w:val="1"/>
                <w:bCs w:val="1"/>
                <w:u w:val="single" w:color="auto"/>
                <w:color w:val="auto"/>
                <w:vertAlign w:val="subscript"/>
              </w:rPr>
              <w:t>​​</w:t>
            </w:r>
            <w:r>
              <w:rPr>
                <w:rFonts w:ascii="Times New Roman" w:cs="Times New Roman" w:eastAsia="Times New Roman" w:hAnsi="Times New Roman"/>
                <w:sz w:val="15"/>
                <w:szCs w:val="15"/>
                <w:b w:val="1"/>
                <w:bCs w:val="1"/>
                <w:color w:val="auto"/>
              </w:rPr>
              <w:t>​ 46,521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unamortized upfront fees received from franchisees at the</w:t>
            </w: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of the year</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for upfront fees associated with contracts that became effective during the year, net of</w:t>
            </w:r>
          </w:p>
        </w:tc>
        <w:tc>
          <w:tcPr>
            <w:tcW w:w="8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recognized as revenue during the year</w:t>
            </w:r>
          </w:p>
        </w:tc>
        <w:tc>
          <w:tcPr>
            <w:tcW w:w="6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161,121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Increase for payments received in advance of transferring control of goods to franchised stores and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franchise related service fee, net of amounts recognized as revenue during the year</w:t>
            </w: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​​​139,659​</w:t>
            </w:r>
          </w:p>
        </w:tc>
        <w:tc>
          <w:tcPr>
            <w:tcW w:w="0" w:type="dxa"/>
            <w:vAlign w:val="bottom"/>
          </w:tcPr>
          <w:p>
            <w:pPr>
              <w:spacing w:after="0"/>
              <w:rPr>
                <w:sz w:val="1"/>
                <w:szCs w:val="1"/>
                <w:color w:val="auto"/>
              </w:rPr>
            </w:pPr>
          </w:p>
        </w:tc>
      </w:tr>
      <w:tr>
        <w:trPr>
          <w:trHeight w:val="20"/>
        </w:trPr>
        <w:tc>
          <w:tcPr>
            <w:tcW w:w="75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660" w:type="dxa"/>
            <w:vAlign w:val="bottom"/>
            <w:tcBorders>
              <w:left w:val="single" w:sz="8" w:color="CCEEFF"/>
            </w:tcBorders>
            <w:gridSpan w:val="3"/>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28"/>
                <w:szCs w:val="28"/>
                <w:b w:val="1"/>
                <w:bCs w:val="1"/>
                <w:u w:val="single" w:color="auto"/>
                <w:color w:val="auto"/>
                <w:vertAlign w:val="subscript"/>
              </w:rPr>
              <w:t>​​</w:t>
            </w:r>
            <w:r>
              <w:rPr>
                <w:rFonts w:ascii="Times New Roman" w:cs="Times New Roman" w:eastAsia="Times New Roman" w:hAnsi="Times New Roman"/>
                <w:sz w:val="15"/>
                <w:szCs w:val="15"/>
                <w:b w:val="1"/>
                <w:bCs w:val="1"/>
                <w:color w:val="auto"/>
              </w:rPr>
              <w:t>​341,907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unamortized upfront fees received from franchisees at the</w:t>
            </w: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of the year</w:t>
            </w: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(45,263​)</w:t>
            </w: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for upfront fees associated with contracts that became effective during the year, net of</w:t>
            </w:r>
          </w:p>
        </w:tc>
        <w:tc>
          <w:tcPr>
            <w:tcW w:w="8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recognized as revenue during the year</w:t>
            </w:r>
          </w:p>
        </w:tc>
        <w:tc>
          <w:tcPr>
            <w:tcW w:w="66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164,398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Increase for payments received in advance of transferring control of goods to franchised stores and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franchise related service fee, net of amounts recognized as revenue during the year</w:t>
            </w: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61,604​</w:t>
            </w:r>
          </w:p>
        </w:tc>
        <w:tc>
          <w:tcPr>
            <w:tcW w:w="0" w:type="dxa"/>
            <w:vAlign w:val="bottom"/>
          </w:tcPr>
          <w:p>
            <w:pPr>
              <w:spacing w:after="0"/>
              <w:rPr>
                <w:sz w:val="1"/>
                <w:szCs w:val="1"/>
                <w:color w:val="auto"/>
              </w:rPr>
            </w:pPr>
          </w:p>
        </w:tc>
      </w:tr>
      <w:tr>
        <w:trPr>
          <w:trHeight w:val="20"/>
        </w:trPr>
        <w:tc>
          <w:tcPr>
            <w:tcW w:w="75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660" w:type="dxa"/>
            <w:vAlign w:val="bottom"/>
            <w:tcBorders>
              <w:left w:val="single" w:sz="8" w:color="CCEEFF"/>
            </w:tcBorders>
            <w:gridSpan w:val="3"/>
            <w:shd w:val="clear" w:color="auto" w:fill="CCEEFF"/>
          </w:tcPr>
          <w:p>
            <w:pPr>
              <w:ind w:left="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30"/>
                <w:szCs w:val="30"/>
                <w:b w:val="1"/>
                <w:bCs w:val="1"/>
                <w:u w:val="single" w:color="auto"/>
                <w:color w:val="auto"/>
                <w:vertAlign w:val="subscript"/>
              </w:rPr>
              <w:t>​​</w:t>
            </w:r>
            <w:r>
              <w:rPr>
                <w:rFonts w:ascii="Times New Roman" w:cs="Times New Roman" w:eastAsia="Times New Roman" w:hAnsi="Times New Roman"/>
                <w:sz w:val="16"/>
                <w:szCs w:val="16"/>
                <w:b w:val="1"/>
                <w:bCs w:val="1"/>
                <w:color w:val="auto"/>
              </w:rPr>
              <w:t>​522,646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-222250</wp:posOffset>
            </wp:positionV>
            <wp:extent cx="4834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-1319530</wp:posOffset>
            </wp:positionV>
            <wp:extent cx="4834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-2416810</wp:posOffset>
            </wp:positionV>
            <wp:extent cx="4834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-3496945</wp:posOffset>
            </wp:positionV>
            <wp:extent cx="482600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Group expects to recognize contract liabilities as revenue over the following years:</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40" w:type="dxa"/>
            <w:vAlign w:val="bottom"/>
          </w:tcPr>
          <w:p>
            <w:pPr>
              <w:ind w:left="2620"/>
              <w:spacing w:after="0"/>
              <w:rPr>
                <w:sz w:val="20"/>
                <w:szCs w:val="20"/>
                <w:color w:val="auto"/>
              </w:rPr>
            </w:pPr>
            <w:r>
              <w:rPr>
                <w:rFonts w:ascii="Times New Roman" w:cs="Times New Roman" w:eastAsia="Times New Roman" w:hAnsi="Times New Roman"/>
                <w:sz w:val="14"/>
                <w:szCs w:val="14"/>
                <w:b w:val="1"/>
                <w:bCs w:val="1"/>
                <w:color w:val="auto"/>
              </w:rPr>
              <w:t>​ ​</w:t>
            </w:r>
          </w:p>
        </w:tc>
        <w:tc>
          <w:tcPr>
            <w:tcW w:w="15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As of December 31, 2024 </w:t>
            </w:r>
            <w:r>
              <w:rPr>
                <w:rFonts w:ascii="Times New Roman" w:cs="Times New Roman" w:eastAsia="Times New Roman" w:hAnsi="Times New Roman"/>
                <w:sz w:val="28"/>
                <w:szCs w:val="28"/>
                <w:b w:val="1"/>
                <w:bCs w:val="1"/>
                <w:color w:val="auto"/>
                <w:vertAlign w:val="subscript"/>
              </w:rPr>
              <w:t>​</w:t>
            </w:r>
          </w:p>
        </w:tc>
      </w:tr>
      <w:tr>
        <w:trPr>
          <w:trHeight w:val="237"/>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40" w:type="dxa"/>
            <w:vAlign w:val="bottom"/>
          </w:tcPr>
          <w:p>
            <w:pPr>
              <w:ind w:left="2620"/>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year</w:t>
            </w:r>
          </w:p>
        </w:tc>
        <w:tc>
          <w:tcPr>
            <w:tcW w:w="284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3"/>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265,341</w:t>
            </w:r>
          </w:p>
        </w:tc>
        <w:tc>
          <w:tcPr>
            <w:tcW w:w="2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1 – 2 years</w:t>
            </w:r>
          </w:p>
        </w:tc>
        <w:tc>
          <w:tcPr>
            <w:tcW w:w="284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3"/>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93,055</w:t>
            </w:r>
          </w:p>
        </w:tc>
        <w:tc>
          <w:tcPr>
            <w:tcW w:w="2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 – 3 years</w:t>
            </w:r>
          </w:p>
        </w:tc>
        <w:tc>
          <w:tcPr>
            <w:tcW w:w="284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3"/>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71,595</w:t>
            </w:r>
          </w:p>
        </w:tc>
        <w:tc>
          <w:tcPr>
            <w:tcW w:w="2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3 – 4 years</w:t>
            </w:r>
          </w:p>
        </w:tc>
        <w:tc>
          <w:tcPr>
            <w:tcW w:w="284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3"/>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59,583</w:t>
            </w:r>
          </w:p>
        </w:tc>
        <w:tc>
          <w:tcPr>
            <w:tcW w:w="2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 – 5 years</w:t>
            </w:r>
          </w:p>
        </w:tc>
        <w:tc>
          <w:tcPr>
            <w:tcW w:w="284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3"/>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22,495</w:t>
            </w:r>
          </w:p>
        </w:tc>
        <w:tc>
          <w:tcPr>
            <w:tcW w:w="2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4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3"/>
          </w:tcPr>
          <w:p>
            <w:pPr>
              <w:jc w:val="center"/>
              <w:ind w:left="135"/>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10,577</w:t>
            </w:r>
          </w:p>
        </w:tc>
        <w:tc>
          <w:tcPr>
            <w:tcW w:w="2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86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4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b w:val="1"/>
                <w:bCs w:val="1"/>
                <w:color w:val="auto"/>
              </w:rPr>
              <w:t>​ ​</w:t>
            </w:r>
          </w:p>
        </w:tc>
        <w:tc>
          <w:tcPr>
            <w:tcW w:w="1280" w:type="dxa"/>
            <w:vAlign w:val="bottom"/>
            <w:gridSpan w:val="3"/>
            <w:shd w:val="clear" w:color="auto" w:fill="CCEEFF"/>
          </w:tcPr>
          <w:p>
            <w:pPr>
              <w:jc w:val="center"/>
              <w:ind w:left="135"/>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​522,646</w:t>
            </w:r>
          </w:p>
        </w:tc>
        <w:tc>
          <w:tcPr>
            <w:tcW w:w="220" w:type="dxa"/>
            <w:vAlign w:val="bottom"/>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-213360</wp:posOffset>
            </wp:positionV>
            <wp:extent cx="52120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18" w:lineRule="exact"/>
        <w:rPr>
          <w:sz w:val="20"/>
          <w:szCs w:val="20"/>
          <w:color w:val="auto"/>
        </w:rPr>
      </w:pPr>
    </w:p>
    <w:p>
      <w:pPr>
        <w:jc w:val="both"/>
        <w:ind w:left="1260" w:right="419" w:firstLine="360"/>
        <w:spacing w:after="0" w:line="281" w:lineRule="auto"/>
        <w:rPr>
          <w:sz w:val="20"/>
          <w:szCs w:val="20"/>
          <w:color w:val="auto"/>
        </w:rPr>
      </w:pPr>
      <w:r>
        <w:rPr>
          <w:rFonts w:ascii="Times New Roman" w:cs="Times New Roman" w:eastAsia="Times New Roman" w:hAnsi="Times New Roman"/>
          <w:sz w:val="18"/>
          <w:szCs w:val="18"/>
          <w:color w:val="auto"/>
        </w:rPr>
        <w:t>The above amounts do not include variable consideration that is constrained and is therefore not included in the transaction price. The Group has applied the optional exemption, as provided for under Topic 606, which allows it to not disclose the transaction price allocated to unsatisfied performance obligations when the transaction price is a sales-based royalty.</w:t>
      </w:r>
    </w:p>
    <w:p>
      <w:pPr>
        <w:spacing w:after="0" w:line="35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8" w:name="page249"/>
    <w:bookmarkEnd w:id="2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15. RELATED PARTY BALANCES AND TRANSACTIONS</w:t>
      </w:r>
    </w:p>
    <w:p>
      <w:pPr>
        <w:spacing w:after="0" w:line="16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2023 and 2024, respectively, other than disclosed elsewhere, the Company had the following major related party transactions:</w:t>
      </w:r>
    </w:p>
    <w:p>
      <w:pPr>
        <w:sectPr>
          <w:pgSz w:w="11900" w:h="16838" w:orient="portrait"/>
          <w:cols w:equalWidth="0" w:num="1">
            <w:col w:w="9879"/>
          </w:cols>
          <w:pgMar w:left="580" w:top="97" w:right="1440" w:bottom="1440" w:gutter="0" w:footer="0" w:header="0"/>
        </w:sectPr>
      </w:pP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related parties</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1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XVC FUND II LP and its affiliates (the “XVC</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Group”)</w:t>
            </w:r>
          </w:p>
        </w:tc>
        <w:tc>
          <w:tcPr>
            <w:tcW w:w="140" w:type="dxa"/>
            <w:vAlign w:val="bottom"/>
          </w:tcPr>
          <w:p>
            <w:pPr>
              <w:spacing w:after="0"/>
              <w:rPr>
                <w:sz w:val="20"/>
                <w:szCs w:val="20"/>
                <w:color w:val="auto"/>
              </w:rPr>
            </w:pPr>
          </w:p>
        </w:tc>
      </w:tr>
    </w:tbl>
    <w:p>
      <w:pPr>
        <w:jc w:val="both"/>
        <w:ind w:left="1440" w:hanging="179"/>
        <w:spacing w:after="0" w:line="273" w:lineRule="auto"/>
        <w:rPr>
          <w:sz w:val="20"/>
          <w:szCs w:val="20"/>
          <w:color w:val="auto"/>
        </w:rPr>
      </w:pPr>
      <w:r>
        <w:rPr>
          <w:rFonts w:ascii="Times New Roman" w:cs="Times New Roman" w:eastAsia="Times New Roman" w:hAnsi="Times New Roman"/>
          <w:sz w:val="18"/>
          <w:szCs w:val="18"/>
          <w:color w:val="auto"/>
        </w:rPr>
        <w:t>Shanghai Fosun High-Tech (Group) Co., Ltd. and its ​ ​ affiliates (the “Fosun Group”)</w:t>
      </w:r>
    </w:p>
    <w:p>
      <w:pPr>
        <w:spacing w:after="0" w:line="2" w:lineRule="exact"/>
        <w:rPr>
          <w:sz w:val="20"/>
          <w:szCs w:val="20"/>
          <w:color w:val="auto"/>
        </w:rPr>
      </w:pPr>
    </w:p>
    <w:p>
      <w:pPr>
        <w:jc w:val="both"/>
        <w:ind w:left="1260"/>
        <w:spacing w:after="0" w:line="202" w:lineRule="auto"/>
        <w:rPr>
          <w:sz w:val="20"/>
          <w:szCs w:val="20"/>
          <w:color w:val="auto"/>
        </w:rPr>
      </w:pPr>
      <w:r>
        <w:rPr>
          <w:rFonts w:ascii="Times New Roman" w:cs="Times New Roman" w:eastAsia="Times New Roman" w:hAnsi="Times New Roman"/>
          <w:sz w:val="18"/>
          <w:szCs w:val="18"/>
          <w:color w:val="auto"/>
        </w:rPr>
        <w:t xml:space="preserve">Qingdao Qiushi Chenxing L.P. (“Qiushi Chenxing”)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Junjie Zhang and Partea Ltd. (company controlled ​ ​</w:t>
      </w:r>
    </w:p>
    <w:p>
      <w:pPr>
        <w:jc w:val="center"/>
        <w:ind w:left="20"/>
        <w:spacing w:after="0"/>
        <w:rPr>
          <w:sz w:val="20"/>
          <w:szCs w:val="20"/>
          <w:color w:val="auto"/>
        </w:rPr>
      </w:pPr>
      <w:r>
        <w:rPr>
          <w:rFonts w:ascii="Times New Roman" w:cs="Times New Roman" w:eastAsia="Times New Roman" w:hAnsi="Times New Roman"/>
          <w:sz w:val="18"/>
          <w:szCs w:val="18"/>
          <w:color w:val="auto"/>
        </w:rPr>
        <w:t>and fully owned by Junjie Zhang)</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Relationship with the Group</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Shareholder of the Group</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3"/>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Shareholder of the Group</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68"/>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Shareholder of the Group</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Shareholder of the Group</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24" w:lineRule="exact"/>
        <w:rPr>
          <w:sz w:val="20"/>
          <w:szCs w:val="20"/>
          <w:color w:val="auto"/>
        </w:rPr>
      </w:pPr>
    </w:p>
    <w:p>
      <w:pPr>
        <w:sectPr>
          <w:pgSz w:w="11900" w:h="16838" w:orient="portrait"/>
          <w:cols w:equalWidth="0" w:num="2">
            <w:col w:w="5400" w:space="80"/>
            <w:col w:w="439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43"/>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Xianggui Peng and TasTea Ltd. (company controlled​ ​</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Shareholder of the Group</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fully owned by Xianggui Peng)</w:t>
            </w:r>
          </w:p>
        </w:tc>
        <w:tc>
          <w:tcPr>
            <w:tcW w:w="7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Peibang Gong, TEALATTE Ltd. (company</w:t>
            </w:r>
          </w:p>
        </w:tc>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Shareholder of the Group</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controlled and fully owned by Peibang Gong)</w:t>
            </w:r>
          </w:p>
        </w:tc>
        <w:tc>
          <w:tcPr>
            <w:tcW w:w="7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Jiangmen Pengjiang District Yu Sheng Beverage</w:t>
            </w:r>
          </w:p>
        </w:tc>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 controlled by one of the</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Plant</w:t>
            </w: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supervisors* of the Group</w:t>
            </w:r>
          </w:p>
        </w:tc>
        <w:tc>
          <w:tcPr>
            <w:tcW w:w="4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Investees</w:t>
            </w:r>
          </w:p>
        </w:tc>
        <w:tc>
          <w:tcPr>
            <w:tcW w:w="700" w:type="dxa"/>
            <w:vAlign w:val="bottom"/>
            <w:vMerge w:val="continue"/>
          </w:tcPr>
          <w:p>
            <w:pPr>
              <w:spacing w:after="0"/>
              <w:rPr>
                <w:sz w:val="24"/>
                <w:szCs w:val="24"/>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Equity investment</w:t>
            </w: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620" w:right="419" w:hanging="360"/>
        <w:spacing w:after="0" w:line="282" w:lineRule="auto"/>
        <w:tabs>
          <w:tab w:leader="none" w:pos="16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Beijing Chagee’s Supervisory Committee responsible for supervising the performance of the Board of Directors and senior management.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  Significant transactions with related parties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gridSpan w:val="9"/>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4"/>
          </w:tcPr>
          <w:p>
            <w:pPr>
              <w:ind w:left="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RMB</w:t>
            </w:r>
          </w:p>
        </w:tc>
        <w:tc>
          <w:tcPr>
            <w:tcW w:w="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Services and sales to related parties</w:t>
            </w:r>
          </w:p>
        </w:tc>
        <w:tc>
          <w:tcPr>
            <w:tcW w:w="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t>
            </w:r>
          </w:p>
        </w:tc>
        <w:tc>
          <w:tcPr>
            <w:tcW w:w="36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t>
            </w:r>
          </w:p>
        </w:tc>
        <w:tc>
          <w:tcPr>
            <w:tcW w:w="46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t>
            </w:r>
          </w:p>
        </w:tc>
        <w:tc>
          <w:tcPr>
            <w:tcW w:w="4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84"/>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Investees</w:t>
            </w:r>
          </w:p>
        </w:tc>
        <w:tc>
          <w:tcPr>
            <w:tcW w:w="760" w:type="dxa"/>
            <w:vAlign w:val="bottom"/>
            <w:gridSpan w:val="5"/>
          </w:tcPr>
          <w:p>
            <w:pPr>
              <w:ind w:left="60"/>
              <w:spacing w:after="0" w:line="283" w:lineRule="exact"/>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​3,369</w:t>
            </w:r>
            <w:r>
              <w:rPr>
                <w:rFonts w:ascii="Times New Roman" w:cs="Times New Roman" w:eastAsia="Times New Roman" w:hAnsi="Times New Roman"/>
                <w:sz w:val="32"/>
                <w:szCs w:val="32"/>
                <w:color w:val="auto"/>
                <w:vertAlign w:val="subscript"/>
              </w:rPr>
              <w:t>​​</w:t>
            </w:r>
          </w:p>
        </w:tc>
        <w:tc>
          <w:tcPr>
            <w:tcW w:w="760" w:type="dxa"/>
            <w:vAlign w:val="bottom"/>
            <w:gridSpan w:val="4"/>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2,511</w:t>
            </w:r>
            <w:r>
              <w:rPr>
                <w:rFonts w:ascii="Times New Roman" w:cs="Times New Roman" w:eastAsia="Times New Roman" w:hAnsi="Times New Roman"/>
                <w:sz w:val="32"/>
                <w:szCs w:val="32"/>
                <w:color w:val="auto"/>
                <w:vertAlign w:val="subscript"/>
              </w:rPr>
              <w:t>​​</w:t>
            </w:r>
          </w:p>
        </w:tc>
        <w:tc>
          <w:tcPr>
            <w:tcW w:w="680" w:type="dxa"/>
            <w:vAlign w:val="bottom"/>
            <w:gridSpan w:val="5"/>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​18,811</w:t>
            </w:r>
            <w:r>
              <w:rPr>
                <w:rFonts w:ascii="Times New Roman" w:cs="Times New Roman" w:eastAsia="Times New Roman" w:hAnsi="Times New Roman"/>
                <w:sz w:val="32"/>
                <w:szCs w:val="32"/>
                <w:color w:val="auto"/>
                <w:vertAlign w:val="subscript"/>
              </w:rPr>
              <w:t>​</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5"/>
            <w:shd w:val="clear" w:color="auto" w:fill="CCEEFF"/>
          </w:tcPr>
          <w:p>
            <w:pPr>
              <w:ind w:left="6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​3,369</w:t>
            </w:r>
            <w:r>
              <w:rPr>
                <w:rFonts w:ascii="Times New Roman" w:cs="Times New Roman" w:eastAsia="Times New Roman" w:hAnsi="Times New Roman"/>
                <w:sz w:val="30"/>
                <w:szCs w:val="30"/>
                <w:color w:val="auto"/>
                <w:vertAlign w:val="subscript"/>
              </w:rPr>
              <w:t>​​</w:t>
            </w:r>
          </w:p>
        </w:tc>
        <w:tc>
          <w:tcPr>
            <w:tcW w:w="760" w:type="dxa"/>
            <w:vAlign w:val="bottom"/>
            <w:gridSpan w:val="4"/>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2,511</w:t>
            </w:r>
            <w:r>
              <w:rPr>
                <w:rFonts w:ascii="Times New Roman" w:cs="Times New Roman" w:eastAsia="Times New Roman" w:hAnsi="Times New Roman"/>
                <w:sz w:val="30"/>
                <w:szCs w:val="30"/>
                <w:color w:val="auto"/>
                <w:vertAlign w:val="subscript"/>
              </w:rPr>
              <w:t>​​</w:t>
            </w:r>
          </w:p>
        </w:tc>
        <w:tc>
          <w:tcPr>
            <w:tcW w:w="620" w:type="dxa"/>
            <w:vAlign w:val="bottom"/>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​18,811</w:t>
            </w:r>
          </w:p>
        </w:tc>
        <w:tc>
          <w:tcPr>
            <w:tcW w:w="2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60" w:type="dxa"/>
            <w:vAlign w:val="bottom"/>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Loans advanced to the related parties</w:t>
            </w:r>
          </w:p>
        </w:tc>
        <w:tc>
          <w:tcPr>
            <w:tcW w:w="24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i w:val="1"/>
                <w:iCs w:val="1"/>
                <w:color w:val="auto"/>
              </w:rPr>
              <w:t>​ ​</w:t>
            </w:r>
          </w:p>
        </w:tc>
        <w:tc>
          <w:tcPr>
            <w:tcW w:w="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360" w:type="dxa"/>
            <w:vAlign w:val="bottom"/>
          </w:tcPr>
          <w:p>
            <w:pPr>
              <w:spacing w:after="0"/>
              <w:rPr>
                <w:sz w:val="15"/>
                <w:szCs w:val="15"/>
                <w:color w:val="auto"/>
              </w:rPr>
            </w:pP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i w:val="1"/>
                <w:iCs w:val="1"/>
                <w:color w:val="auto"/>
              </w:rPr>
              <w:t>​​</w:t>
            </w:r>
          </w:p>
        </w:tc>
        <w:tc>
          <w:tcPr>
            <w:tcW w:w="1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i w:val="1"/>
                <w:iCs w:val="1"/>
                <w:color w:val="auto"/>
              </w:rPr>
              <w:t>​</w:t>
            </w:r>
          </w:p>
        </w:tc>
        <w:tc>
          <w:tcPr>
            <w:tcW w:w="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460" w:type="dxa"/>
            <w:vAlign w:val="bottom"/>
          </w:tcPr>
          <w:p>
            <w:pPr>
              <w:spacing w:after="0"/>
              <w:rPr>
                <w:sz w:val="15"/>
                <w:szCs w:val="15"/>
                <w:color w:val="auto"/>
              </w:rPr>
            </w:pP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i w:val="1"/>
                <w:iCs w:val="1"/>
                <w:color w:val="auto"/>
              </w:rPr>
              <w:t>​</w:t>
            </w:r>
          </w:p>
        </w:tc>
        <w:tc>
          <w:tcPr>
            <w:tcW w:w="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Junjie Zhang</w:t>
            </w:r>
          </w:p>
        </w:tc>
        <w:tc>
          <w:tcPr>
            <w:tcW w:w="76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w:t>
            </w: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Xianggui Peng</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Peibang Gong</w:t>
            </w:r>
          </w:p>
        </w:tc>
        <w:tc>
          <w:tcPr>
            <w:tcW w:w="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Jiangmen Pengjiang District Yu Sheng Beverage Plant</w:t>
            </w:r>
          </w:p>
        </w:tc>
        <w:tc>
          <w:tcPr>
            <w:tcW w:w="760" w:type="dxa"/>
            <w:vAlign w:val="bottom"/>
            <w:gridSpan w:val="5"/>
          </w:tcPr>
          <w:p>
            <w:pPr>
              <w:ind w:left="60"/>
              <w:spacing w:after="0" w:line="283" w:lineRule="exact"/>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​2,000</w:t>
            </w:r>
            <w:r>
              <w:rPr>
                <w:rFonts w:ascii="Times New Roman" w:cs="Times New Roman" w:eastAsia="Times New Roman" w:hAnsi="Times New Roman"/>
                <w:sz w:val="32"/>
                <w:szCs w:val="32"/>
                <w:color w:val="auto"/>
                <w:vertAlign w:val="subscript"/>
              </w:rPr>
              <w:t>​​</w:t>
            </w:r>
          </w:p>
        </w:tc>
        <w:tc>
          <w:tcPr>
            <w:tcW w:w="18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58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17"/>
                <w:szCs w:val="17"/>
                <w:color w:val="auto"/>
              </w:rPr>
              <w:t>2,000</w:t>
            </w:r>
            <w:r>
              <w:rPr>
                <w:rFonts w:ascii="Times New Roman" w:cs="Times New Roman" w:eastAsia="Times New Roman" w:hAnsi="Times New Roman"/>
                <w:sz w:val="32"/>
                <w:szCs w:val="32"/>
                <w:color w:val="auto"/>
                <w:vertAlign w:val="subscript"/>
              </w:rPr>
              <w:t>​​</w:t>
            </w:r>
          </w:p>
        </w:tc>
        <w:tc>
          <w:tcPr>
            <w:tcW w:w="18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500" w:type="dxa"/>
            <w:vAlign w:val="bottom"/>
            <w:gridSpan w:val="3"/>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5"/>
            <w:shd w:val="clear" w:color="auto" w:fill="CCEEFF"/>
          </w:tcPr>
          <w:p>
            <w:pPr>
              <w:ind w:left="6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​3,000</w:t>
            </w:r>
            <w:r>
              <w:rPr>
                <w:rFonts w:ascii="Times New Roman" w:cs="Times New Roman" w:eastAsia="Times New Roman" w:hAnsi="Times New Roman"/>
                <w:sz w:val="30"/>
                <w:szCs w:val="30"/>
                <w:color w:val="auto"/>
                <w:vertAlign w:val="subscript"/>
              </w:rPr>
              <w:t>​​</w:t>
            </w:r>
          </w:p>
        </w:tc>
        <w:tc>
          <w:tcPr>
            <w:tcW w:w="760" w:type="dxa"/>
            <w:vAlign w:val="bottom"/>
            <w:gridSpan w:val="4"/>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​34,000</w:t>
            </w:r>
            <w:r>
              <w:rPr>
                <w:rFonts w:ascii="Times New Roman" w:cs="Times New Roman" w:eastAsia="Times New Roman" w:hAnsi="Times New Roman"/>
                <w:sz w:val="30"/>
                <w:szCs w:val="30"/>
                <w:color w:val="auto"/>
                <w:vertAlign w:val="subscript"/>
              </w:rPr>
              <w:t>​​</w:t>
            </w:r>
          </w:p>
        </w:tc>
        <w:tc>
          <w:tcPr>
            <w:tcW w:w="180" w:type="dxa"/>
            <w:vAlign w:val="bottom"/>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Share-based compensation related to ordinary shares exchanged for preferred</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shares (Note 17)</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t>
            </w:r>
          </w:p>
        </w:tc>
        <w:tc>
          <w:tcPr>
            <w:tcW w:w="36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t>
            </w:r>
          </w:p>
        </w:tc>
        <w:tc>
          <w:tcPr>
            <w:tcW w:w="46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Partea Ltd</w:t>
            </w:r>
          </w:p>
        </w:tc>
        <w:tc>
          <w:tcPr>
            <w:tcW w:w="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TasTea Ltd</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1,633​​ ​</w:t>
            </w:r>
            <w:r>
              <w:rPr>
                <w:rFonts w:ascii="Times New Roman" w:cs="Times New Roman" w:eastAsia="Times New Roman" w:hAnsi="Times New Roman"/>
                <w:sz w:val="18"/>
                <w:szCs w:val="18"/>
                <w:b w:val="1"/>
                <w:bCs w:val="1"/>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TEALATTE Ltd</w:t>
            </w:r>
          </w:p>
        </w:tc>
        <w:tc>
          <w:tcPr>
            <w:tcW w:w="280" w:type="dxa"/>
            <w:vAlign w:val="bottom"/>
            <w:gridSpan w:val="3"/>
            <w:shd w:val="clear" w:color="auto" w:fill="CCEEFF"/>
          </w:tcPr>
          <w:p>
            <w:pPr>
              <w:ind w:left="60"/>
              <w:spacing w:after="0" w:line="283"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2"/>
                <w:szCs w:val="32"/>
                <w:color w:val="auto"/>
                <w:vertAlign w:val="superscript"/>
              </w:rPr>
              <w:t>​</w:t>
            </w:r>
          </w:p>
        </w:tc>
        <w:tc>
          <w:tcPr>
            <w:tcW w:w="660" w:type="dxa"/>
            <w:vAlign w:val="bottom"/>
            <w:gridSpan w:val="4"/>
            <w:shd w:val="clear" w:color="auto" w:fill="CCEEFF"/>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32"/>
                <w:szCs w:val="32"/>
                <w:color w:val="auto"/>
                <w:vertAlign w:val="superscript"/>
              </w:rPr>
              <w:t>​</w:t>
            </w:r>
          </w:p>
        </w:tc>
        <w:tc>
          <w:tcPr>
            <w:tcW w:w="760" w:type="dxa"/>
            <w:vAlign w:val="bottom"/>
            <w:gridSpan w:val="4"/>
            <w:shd w:val="clear" w:color="auto" w:fill="CCEEFF"/>
          </w:tcPr>
          <w:p>
            <w:pPr>
              <w:jc w:val="right"/>
              <w:spacing w:after="0" w:line="283" w:lineRule="exact"/>
              <w:rPr>
                <w:sz w:val="20"/>
                <w:szCs w:val="20"/>
                <w:color w:val="auto"/>
              </w:rPr>
            </w:pPr>
            <w:r>
              <w:rPr>
                <w:rFonts w:ascii="Times New Roman" w:cs="Times New Roman" w:eastAsia="Times New Roman" w:hAnsi="Times New Roman"/>
                <w:sz w:val="17"/>
                <w:szCs w:val="17"/>
                <w:color w:val="auto"/>
              </w:rPr>
              <w:t>1,120</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3"/>
          </w:tcPr>
          <w:p>
            <w:pPr>
              <w:ind w:left="6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48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w:t>
            </w:r>
          </w:p>
        </w:tc>
        <w:tc>
          <w:tcPr>
            <w:tcW w:w="18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58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color w:val="auto"/>
              </w:rPr>
              <w:t>6,990</w:t>
            </w:r>
            <w:r>
              <w:rPr>
                <w:rFonts w:ascii="Times New Roman" w:cs="Times New Roman" w:eastAsia="Times New Roman" w:hAnsi="Times New Roman"/>
                <w:sz w:val="30"/>
                <w:szCs w:val="30"/>
                <w:color w:val="auto"/>
                <w:vertAlign w:val="subscript"/>
              </w:rPr>
              <w:t>​​</w:t>
            </w:r>
          </w:p>
        </w:tc>
        <w:tc>
          <w:tcPr>
            <w:tcW w:w="18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50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-1199515</wp:posOffset>
            </wp:positionV>
            <wp:extent cx="487743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877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-2193925</wp:posOffset>
            </wp:positionV>
            <wp:extent cx="487743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9" w:name="page250"/>
    <w:bookmarkEnd w:id="2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15. RELATED PARTY BALANCES AND TRANSACTIONS (continued)</w:t>
      </w:r>
    </w:p>
    <w:p>
      <w:pPr>
        <w:spacing w:after="0" w:line="22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11"/>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w w:val="97"/>
              </w:rPr>
              <w:t>For the Years Ended</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7"/>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6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2024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7"/>
                <w:szCs w:val="17"/>
                <w:color w:val="auto"/>
              </w:rPr>
            </w:pPr>
          </w:p>
        </w:tc>
        <w:tc>
          <w:tcPr>
            <w:tcW w:w="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140" w:type="dxa"/>
            <w:vAlign w:val="bottom"/>
          </w:tcPr>
          <w:p>
            <w:pPr>
              <w:spacing w:after="0"/>
              <w:rPr>
                <w:sz w:val="17"/>
                <w:szCs w:val="17"/>
                <w:color w:val="auto"/>
              </w:rPr>
            </w:pPr>
          </w:p>
        </w:tc>
        <w:tc>
          <w:tcPr>
            <w:tcW w:w="6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 ​ RMB ​</w:t>
            </w:r>
          </w:p>
        </w:tc>
        <w:tc>
          <w:tcPr>
            <w:tcW w:w="0" w:type="dxa"/>
            <w:vAlign w:val="bottom"/>
          </w:tcPr>
          <w:p>
            <w:pPr>
              <w:spacing w:after="0"/>
              <w:rPr>
                <w:sz w:val="1"/>
                <w:szCs w:val="1"/>
                <w:color w:val="auto"/>
              </w:rPr>
            </w:pPr>
          </w:p>
        </w:tc>
      </w:tr>
      <w:tr>
        <w:trPr>
          <w:trHeight w:val="25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Repayment of the loans advanced to the related parties</w:t>
            </w:r>
          </w:p>
        </w:tc>
        <w:tc>
          <w:tcPr>
            <w:tcW w:w="28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t>
            </w:r>
          </w:p>
        </w:tc>
        <w:tc>
          <w:tcPr>
            <w:tcW w:w="400" w:type="dxa"/>
            <w:vAlign w:val="bottom"/>
            <w:shd w:val="clear" w:color="auto" w:fill="CCEEFF"/>
          </w:tcPr>
          <w:p>
            <w:pPr>
              <w:spacing w:after="0"/>
              <w:rPr>
                <w:sz w:val="22"/>
                <w:szCs w:val="22"/>
                <w:color w:val="auto"/>
              </w:rPr>
            </w:pPr>
          </w:p>
        </w:tc>
        <w:tc>
          <w:tcPr>
            <w:tcW w:w="2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t>
            </w:r>
          </w:p>
        </w:tc>
        <w:tc>
          <w:tcPr>
            <w:tcW w:w="240" w:type="dxa"/>
            <w:vAlign w:val="bottom"/>
            <w:tcBorders>
              <w:right w:val="single" w:sz="8" w:color="CCEEFF"/>
            </w:tcBorders>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57"/>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Junjie Zhang</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color w:val="auto"/>
              </w:rPr>
              <w:t>24,000​​ ​</w:t>
            </w: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Xianggui Peng</w:t>
            </w:r>
          </w:p>
        </w:tc>
        <w:tc>
          <w:tcPr>
            <w:tcW w:w="28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80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 ​​</w:t>
            </w:r>
          </w:p>
        </w:tc>
        <w:tc>
          <w:tcPr>
            <w:tcW w:w="2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7"/>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Peibang Gong</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0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5,000​​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Jiangmen Pengjiang District Yu Sheng Beverage Plant</w:t>
            </w:r>
          </w:p>
        </w:tc>
        <w:tc>
          <w:tcPr>
            <w:tcW w:w="920" w:type="dxa"/>
            <w:vAlign w:val="bottom"/>
            <w:tcBorders>
              <w:right w:val="single" w:sz="8" w:color="CCEEFF"/>
            </w:tcBorders>
            <w:gridSpan w:val="5"/>
            <w:shd w:val="clear" w:color="auto" w:fill="CCEEFF"/>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​2,000</w:t>
            </w:r>
            <w:r>
              <w:rPr>
                <w:rFonts w:ascii="Times New Roman" w:cs="Times New Roman" w:eastAsia="Times New Roman" w:hAnsi="Times New Roman"/>
                <w:sz w:val="31"/>
                <w:szCs w:val="31"/>
                <w:color w:val="auto"/>
                <w:vertAlign w:val="subscript"/>
              </w:rPr>
              <w:t>​​ ​</w:t>
            </w:r>
          </w:p>
        </w:tc>
        <w:tc>
          <w:tcPr>
            <w:tcW w:w="40" w:type="dxa"/>
            <w:vAlign w:val="bottom"/>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140" w:type="dxa"/>
            <w:vAlign w:val="bottom"/>
            <w:shd w:val="clear" w:color="auto" w:fill="CCEEFF"/>
          </w:tcPr>
          <w:p>
            <w:pPr>
              <w:spacing w:after="0"/>
              <w:rPr>
                <w:sz w:val="23"/>
                <w:szCs w:val="23"/>
                <w:color w:val="auto"/>
              </w:rPr>
            </w:pPr>
          </w:p>
        </w:tc>
        <w:tc>
          <w:tcPr>
            <w:tcW w:w="800" w:type="dxa"/>
            <w:vAlign w:val="bottom"/>
            <w:gridSpan w:val="6"/>
            <w:shd w:val="clear" w:color="auto" w:fill="CCEEFF"/>
          </w:tcPr>
          <w:p>
            <w:pPr>
              <w:jc w:val="right"/>
              <w:ind w:right="80"/>
              <w:spacing w:after="0" w:line="269" w:lineRule="exact"/>
              <w:rPr>
                <w:sz w:val="20"/>
                <w:szCs w:val="20"/>
                <w:color w:val="auto"/>
              </w:rPr>
            </w:pPr>
            <w:r>
              <w:rPr>
                <w:rFonts w:ascii="Times New Roman" w:cs="Times New Roman" w:eastAsia="Times New Roman" w:hAnsi="Times New Roman"/>
                <w:sz w:val="17"/>
                <w:szCs w:val="17"/>
                <w:color w:val="auto"/>
              </w:rPr>
              <w:t>2,000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w:t>
            </w:r>
          </w:p>
        </w:tc>
        <w:tc>
          <w:tcPr>
            <w:tcW w:w="2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7"/>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gridSpan w:val="2"/>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gridSpan w:val="4"/>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​2,000</w:t>
            </w:r>
            <w:r>
              <w:rPr>
                <w:rFonts w:ascii="Times New Roman" w:cs="Times New Roman" w:eastAsia="Times New Roman" w:hAnsi="Times New Roman"/>
                <w:sz w:val="28"/>
                <w:szCs w:val="28"/>
                <w:color w:val="auto"/>
                <w:vertAlign w:val="subscript"/>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940" w:type="dxa"/>
            <w:vAlign w:val="bottom"/>
            <w:gridSpan w:val="7"/>
          </w:tcPr>
          <w:p>
            <w:pPr>
              <w:jc w:val="right"/>
              <w:ind w:right="80"/>
              <w:spacing w:after="0" w:line="250" w:lineRule="exact"/>
              <w:rPr>
                <w:sz w:val="20"/>
                <w:szCs w:val="20"/>
                <w:color w:val="auto"/>
              </w:rPr>
            </w:pPr>
            <w:r>
              <w:rPr>
                <w:rFonts w:ascii="Times New Roman" w:cs="Times New Roman" w:eastAsia="Times New Roman" w:hAnsi="Times New Roman"/>
                <w:sz w:val="15"/>
                <w:szCs w:val="15"/>
                <w:color w:val="auto"/>
              </w:rPr>
              <w:t>38,000</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w:t>
            </w:r>
          </w:p>
        </w:tc>
        <w:tc>
          <w:tcPr>
            <w:tcW w:w="3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Bridge loans to shareholders related to Restructuring</w:t>
            </w:r>
          </w:p>
        </w:tc>
        <w:tc>
          <w:tcPr>
            <w:tcW w:w="28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57"/>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XVC Group</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8"/>
          </w:tcPr>
          <w:p>
            <w:pPr>
              <w:jc w:val="right"/>
              <w:ind w:right="80"/>
              <w:spacing w:after="0"/>
              <w:rPr>
                <w:sz w:val="20"/>
                <w:szCs w:val="20"/>
                <w:color w:val="auto"/>
              </w:rPr>
            </w:pPr>
            <w:r>
              <w:rPr>
                <w:rFonts w:ascii="Times New Roman" w:cs="Times New Roman" w:eastAsia="Times New Roman" w:hAnsi="Times New Roman"/>
                <w:sz w:val="18"/>
                <w:szCs w:val="18"/>
                <w:color w:val="auto"/>
              </w:rPr>
              <w:t>​ 138,000​​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Qiushi Chenxing</w:t>
            </w:r>
          </w:p>
        </w:tc>
        <w:tc>
          <w:tcPr>
            <w:tcW w:w="28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8"/>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117,000​​ ​​</w:t>
            </w:r>
          </w:p>
        </w:tc>
        <w:tc>
          <w:tcPr>
            <w:tcW w:w="2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7"/>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Fosun Group</w:t>
            </w:r>
          </w:p>
        </w:tc>
        <w:tc>
          <w:tcPr>
            <w:tcW w:w="280" w:type="dxa"/>
            <w:vAlign w:val="bottom"/>
            <w:gridSpan w:val="2"/>
          </w:tcPr>
          <w:p>
            <w:pPr>
              <w:ind w:left="6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5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940" w:type="dxa"/>
            <w:vAlign w:val="bottom"/>
            <w:gridSpan w:val="7"/>
          </w:tcPr>
          <w:p>
            <w:pPr>
              <w:jc w:val="right"/>
              <w:ind w:right="80"/>
              <w:spacing w:after="0" w:line="269" w:lineRule="exact"/>
              <w:rPr>
                <w:sz w:val="20"/>
                <w:szCs w:val="20"/>
                <w:color w:val="auto"/>
              </w:rPr>
            </w:pPr>
            <w:r>
              <w:rPr>
                <w:rFonts w:ascii="Times New Roman" w:cs="Times New Roman" w:eastAsia="Times New Roman" w:hAnsi="Times New Roman"/>
                <w:sz w:val="17"/>
                <w:szCs w:val="17"/>
                <w:color w:val="auto"/>
              </w:rPr>
              <w:t>50,000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w:t>
            </w:r>
          </w:p>
        </w:tc>
        <w:tc>
          <w:tcPr>
            <w:tcW w:w="3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gridSpan w:val="2"/>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right w:val="single" w:sz="8" w:color="CCEEFF"/>
            </w:tcBorders>
            <w:gridSpan w:val="2"/>
            <w:shd w:val="clear" w:color="auto" w:fill="CCEEFF"/>
          </w:tcPr>
          <w:p>
            <w:pPr>
              <w:ind w:left="6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500" w:type="dxa"/>
            <w:vAlign w:val="bottom"/>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8"/>
            <w:shd w:val="clear" w:color="auto" w:fill="CCEEFF"/>
          </w:tcPr>
          <w:p>
            <w:pPr>
              <w:jc w:val="right"/>
              <w:ind w:righ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​305,000</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w:t>
            </w:r>
          </w:p>
        </w:tc>
        <w:tc>
          <w:tcPr>
            <w:tcW w:w="2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7"/>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Repayment of bridge loans to shareholders related to Restructuring</w:t>
            </w:r>
          </w:p>
        </w:tc>
        <w:tc>
          <w:tcPr>
            <w:tcW w:w="28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line="20" w:lineRule="exact"/>
              <w:rPr>
                <w:sz w:val="1"/>
                <w:szCs w:val="1"/>
                <w:color w:val="auto"/>
              </w:rPr>
            </w:pPr>
          </w:p>
        </w:tc>
      </w:tr>
      <w:tr>
        <w:trPr>
          <w:trHeight w:val="190"/>
        </w:trPr>
        <w:tc>
          <w:tcPr>
            <w:tcW w:w="6060" w:type="dxa"/>
            <w:vAlign w:val="bottom"/>
            <w:vMerge w:val="continue"/>
          </w:tcPr>
          <w:p>
            <w:pPr>
              <w:spacing w:after="0"/>
              <w:rPr>
                <w:sz w:val="16"/>
                <w:szCs w:val="16"/>
                <w:color w:val="auto"/>
              </w:rPr>
            </w:pPr>
          </w:p>
        </w:tc>
        <w:tc>
          <w:tcPr>
            <w:tcW w:w="280" w:type="dxa"/>
            <w:vAlign w:val="bottom"/>
            <w:gridSpan w:val="2"/>
          </w:tcPr>
          <w:p>
            <w:pPr>
              <w:ind w:left="60"/>
              <w:spacing w:after="0" w:line="190" w:lineRule="exact"/>
              <w:rPr>
                <w:sz w:val="20"/>
                <w:szCs w:val="20"/>
                <w:color w:val="auto"/>
              </w:rPr>
            </w:pP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t>
            </w:r>
          </w:p>
        </w:tc>
        <w:tc>
          <w:tcPr>
            <w:tcW w:w="4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gridSpan w:val="3"/>
          </w:tcPr>
          <w:p>
            <w:pPr>
              <w:jc w:val="right"/>
              <w:ind w:right="80"/>
              <w:spacing w:after="0" w:line="190" w:lineRule="exact"/>
              <w:rPr>
                <w:sz w:val="20"/>
                <w:szCs w:val="20"/>
                <w:color w:val="auto"/>
              </w:rPr>
            </w:pP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t>
            </w:r>
          </w:p>
        </w:tc>
        <w:tc>
          <w:tcPr>
            <w:tcW w:w="24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XVC Group</w:t>
            </w:r>
          </w:p>
        </w:tc>
        <w:tc>
          <w:tcPr>
            <w:tcW w:w="28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8"/>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138,000​​ ​​</w:t>
            </w:r>
          </w:p>
        </w:tc>
        <w:tc>
          <w:tcPr>
            <w:tcW w:w="2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7"/>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Qiushi Chenxing</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8"/>
          </w:tcPr>
          <w:p>
            <w:pPr>
              <w:jc w:val="right"/>
              <w:ind w:right="80"/>
              <w:spacing w:after="0"/>
              <w:rPr>
                <w:sz w:val="20"/>
                <w:szCs w:val="20"/>
                <w:color w:val="auto"/>
              </w:rPr>
            </w:pPr>
            <w:r>
              <w:rPr>
                <w:rFonts w:ascii="Times New Roman" w:cs="Times New Roman" w:eastAsia="Times New Roman" w:hAnsi="Times New Roman"/>
                <w:sz w:val="18"/>
                <w:szCs w:val="18"/>
                <w:color w:val="auto"/>
              </w:rPr>
              <w:t>​ 117,000​​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Fosun Group</w:t>
            </w:r>
          </w:p>
        </w:tc>
        <w:tc>
          <w:tcPr>
            <w:tcW w:w="280" w:type="dxa"/>
            <w:vAlign w:val="bottom"/>
            <w:tcBorders>
              <w:right w:val="single" w:sz="8" w:color="CCEEFF"/>
            </w:tcBorders>
            <w:gridSpan w:val="2"/>
            <w:shd w:val="clear" w:color="auto" w:fill="CCEEFF"/>
          </w:tcPr>
          <w:p>
            <w:pPr>
              <w:ind w:left="60"/>
              <w:spacing w:after="0" w:line="283"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2"/>
                <w:szCs w:val="32"/>
                <w:color w:val="auto"/>
                <w:vertAlign w:val="superscript"/>
              </w:rPr>
              <w:t>​</w:t>
            </w:r>
          </w:p>
        </w:tc>
        <w:tc>
          <w:tcPr>
            <w:tcW w:w="500" w:type="dxa"/>
            <w:vAlign w:val="bottom"/>
            <w:gridSpan w:val="2"/>
            <w:shd w:val="clear" w:color="auto" w:fill="CCEEFF"/>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w:t>
            </w:r>
          </w:p>
        </w:tc>
        <w:tc>
          <w:tcPr>
            <w:tcW w:w="940" w:type="dxa"/>
            <w:vAlign w:val="bottom"/>
            <w:gridSpan w:val="7"/>
            <w:shd w:val="clear" w:color="auto" w:fill="CCEEFF"/>
          </w:tcPr>
          <w:p>
            <w:pPr>
              <w:jc w:val="right"/>
              <w:ind w:right="80"/>
              <w:spacing w:after="0" w:line="283" w:lineRule="exact"/>
              <w:rPr>
                <w:sz w:val="20"/>
                <w:szCs w:val="20"/>
                <w:color w:val="auto"/>
              </w:rPr>
            </w:pPr>
            <w:r>
              <w:rPr>
                <w:rFonts w:ascii="Times New Roman" w:cs="Times New Roman" w:eastAsia="Times New Roman" w:hAnsi="Times New Roman"/>
                <w:sz w:val="17"/>
                <w:szCs w:val="17"/>
                <w:color w:val="auto"/>
              </w:rPr>
              <w:t>50,000</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w:t>
            </w:r>
          </w:p>
        </w:tc>
        <w:tc>
          <w:tcPr>
            <w:tcW w:w="2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7"/>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gridSpan w:val="2"/>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tcPr>
          <w:p>
            <w:pPr>
              <w:ind w:left="6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50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w:t>
            </w:r>
          </w:p>
        </w:tc>
        <w:tc>
          <w:tcPr>
            <w:tcW w:w="1120" w:type="dxa"/>
            <w:vAlign w:val="bottom"/>
            <w:gridSpan w:val="9"/>
          </w:tcPr>
          <w:p>
            <w:pPr>
              <w:jc w:val="right"/>
              <w:ind w:righ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​305,000</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w:t>
            </w:r>
          </w:p>
        </w:tc>
        <w:tc>
          <w:tcPr>
            <w:tcW w:w="30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(b)  Balances with related parties</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4"/>
                <w:szCs w:val="24"/>
                <w:color w:val="auto"/>
              </w:rPr>
            </w:pPr>
          </w:p>
        </w:tc>
        <w:tc>
          <w:tcPr>
            <w:tcW w:w="124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As of December 31,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6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6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7"/>
        </w:trPr>
        <w:tc>
          <w:tcPr>
            <w:tcW w:w="6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Amounts due from related parties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140" w:type="dxa"/>
            <w:vAlign w:val="bottom"/>
          </w:tcPr>
          <w:p>
            <w:pPr>
              <w:spacing w:after="0"/>
              <w:rPr>
                <w:sz w:val="22"/>
                <w:szCs w:val="22"/>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480" w:type="dxa"/>
            <w:vAlign w:val="bottom"/>
            <w:gridSpan w:val="4"/>
          </w:tcPr>
          <w:p>
            <w:pPr>
              <w:ind w:left="60"/>
              <w:spacing w:after="0"/>
              <w:rPr>
                <w:sz w:val="20"/>
                <w:szCs w:val="20"/>
                <w:color w:val="auto"/>
              </w:rPr>
            </w:pPr>
            <w:r>
              <w:rPr>
                <w:rFonts w:ascii="Times New Roman" w:cs="Times New Roman" w:eastAsia="Times New Roman" w:hAnsi="Times New Roman"/>
                <w:sz w:val="18"/>
                <w:szCs w:val="18"/>
                <w:i w:val="1"/>
                <w:iCs w:val="1"/>
                <w:color w:val="auto"/>
              </w:rPr>
              <w:t>​ ​ ​</w:t>
            </w:r>
          </w:p>
        </w:tc>
        <w:tc>
          <w:tcPr>
            <w:tcW w:w="24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70"/>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Investees</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3"/>
                <w:szCs w:val="23"/>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6"/>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​1,547 </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460" w:type="dxa"/>
            <w:vAlign w:val="bottom"/>
            <w:tcBorders>
              <w:right w:val="single" w:sz="8" w:color="CCEEFF"/>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4"/>
                <w:szCs w:val="24"/>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5"/>
            <w:shd w:val="clear" w:color="auto" w:fill="CCEEFF"/>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xml:space="preserve"> ​1,547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-2545715</wp:posOffset>
            </wp:positionV>
            <wp:extent cx="498030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9803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-548005</wp:posOffset>
            </wp:positionV>
            <wp:extent cx="5212080" cy="16319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16. TAXATION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  Enterprise income tax (“EIT”)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4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Under the current laws of the Cayman Islands, the Group is not subject to tax on income or capital gain. Additionally, upon payments of dividends to the shareholders, no Cayman Islands withholding tax will be imposed.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Under the current laws of Singapore, the subsidiaries incorporated in Singapore are subject to the prevailing Singapore Corporate Tax of 17%.</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0" w:name="page251"/>
    <w:bookmarkEnd w:id="2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16. TAXATION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Malaysia</w:t>
      </w:r>
    </w:p>
    <w:p>
      <w:pPr>
        <w:spacing w:after="0" w:line="162" w:lineRule="exact"/>
        <w:rPr>
          <w:sz w:val="20"/>
          <w:szCs w:val="20"/>
          <w:color w:val="auto"/>
        </w:rPr>
      </w:pPr>
    </w:p>
    <w:p>
      <w:pPr>
        <w:jc w:val="both"/>
        <w:ind w:left="1260" w:right="1260" w:firstLine="360"/>
        <w:spacing w:after="0" w:line="297" w:lineRule="auto"/>
        <w:rPr>
          <w:sz w:val="20"/>
          <w:szCs w:val="20"/>
          <w:color w:val="auto"/>
        </w:rPr>
      </w:pPr>
      <w:r>
        <w:rPr>
          <w:rFonts w:ascii="Times New Roman" w:cs="Times New Roman" w:eastAsia="Times New Roman" w:hAnsi="Times New Roman"/>
          <w:sz w:val="18"/>
          <w:szCs w:val="18"/>
          <w:color w:val="auto"/>
        </w:rPr>
        <w:t>Under the current laws of Malaysia, the subsidiaries incorporated in Malaysia are subject to the Malaysia Cooperate Income Tax of 24%.</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162" w:lineRule="exact"/>
        <w:rPr>
          <w:sz w:val="20"/>
          <w:szCs w:val="20"/>
          <w:color w:val="auto"/>
        </w:rPr>
      </w:pPr>
    </w:p>
    <w:p>
      <w:pPr>
        <w:jc w:val="both"/>
        <w:ind w:left="1260" w:right="1260" w:firstLine="360"/>
        <w:spacing w:after="0" w:line="297" w:lineRule="auto"/>
        <w:rPr>
          <w:sz w:val="20"/>
          <w:szCs w:val="20"/>
          <w:color w:val="auto"/>
        </w:rPr>
      </w:pPr>
      <w:r>
        <w:rPr>
          <w:rFonts w:ascii="Times New Roman" w:cs="Times New Roman" w:eastAsia="Times New Roman" w:hAnsi="Times New Roman"/>
          <w:sz w:val="18"/>
          <w:szCs w:val="18"/>
          <w:color w:val="auto"/>
        </w:rPr>
        <w:t>Under the PRC Enterprise Income Tax Law (the “EIT Law”), the standard enterprise income tax rate for domestic enterprises and foreign invested enterprises is 25%.</w:t>
      </w:r>
    </w:p>
    <w:p>
      <w:pPr>
        <w:spacing w:after="0" w:line="82" w:lineRule="exact"/>
        <w:rPr>
          <w:sz w:val="20"/>
          <w:szCs w:val="20"/>
          <w:color w:val="auto"/>
        </w:rPr>
      </w:pPr>
    </w:p>
    <w:p>
      <w:pPr>
        <w:jc w:val="both"/>
        <w:ind w:left="1260" w:right="1260" w:firstLine="360"/>
        <w:spacing w:after="0" w:line="266" w:lineRule="auto"/>
        <w:rPr>
          <w:sz w:val="20"/>
          <w:szCs w:val="20"/>
          <w:color w:val="auto"/>
        </w:rPr>
      </w:pPr>
      <w:r>
        <w:rPr>
          <w:rFonts w:ascii="Times New Roman" w:cs="Times New Roman" w:eastAsia="Times New Roman" w:hAnsi="Times New Roman"/>
          <w:sz w:val="18"/>
          <w:szCs w:val="18"/>
          <w:color w:val="auto"/>
        </w:rPr>
        <w:t>According to the circular of “Continuing to Implement Preferential Enterprise Income Tax Policies for Western Development”(Ministry of Finance announcement [2020] No. 23) issued by the Ministry of Finance, the State Administration of Taxation and the National Development and Reform Commission and relevant PRC enterprise income tax regulations, entities that are qualified and located in certain western provinces of mainland China are entitled to a preferential enterprise income tax rate of 15%. Certain entities of the Group that are engaged in the “Encouraged Industries in the Western Region” stated in the Ministry of Finance announcement [2020] No. 23 are eligible for the preferential EIT rate at 15%.</w:t>
      </w:r>
    </w:p>
    <w:p>
      <w:pPr>
        <w:spacing w:after="0" w:line="109" w:lineRule="exact"/>
        <w:rPr>
          <w:sz w:val="20"/>
          <w:szCs w:val="20"/>
          <w:color w:val="auto"/>
        </w:rPr>
      </w:pPr>
    </w:p>
    <w:p>
      <w:pPr>
        <w:jc w:val="both"/>
        <w:ind w:left="1260" w:right="1260" w:firstLine="360"/>
        <w:spacing w:after="0" w:line="270" w:lineRule="auto"/>
        <w:rPr>
          <w:sz w:val="20"/>
          <w:szCs w:val="20"/>
          <w:color w:val="auto"/>
        </w:rPr>
      </w:pPr>
      <w:r>
        <w:rPr>
          <w:rFonts w:ascii="Times New Roman" w:cs="Times New Roman" w:eastAsia="Times New Roman" w:hAnsi="Times New Roman"/>
          <w:sz w:val="18"/>
          <w:szCs w:val="18"/>
          <w:color w:val="auto"/>
        </w:rPr>
        <w:t>Dividends, interests, rent or royalties payable by the Company’s PRC subsidiaries, to non-PRC resident enterprises, and proceeds from any such non-resident enterprise investor’s disposition of assets (after deducting the net value of such assets) shall be subject to 10% withholding tax, unless the respective non-PRC resident enterprise’s jurisdiction of incorporation has a tax treaty or arrangements with China that provides for a reduced withholding tax rate or an exemption from withholding tax.</w:t>
      </w:r>
    </w:p>
    <w:p>
      <w:pPr>
        <w:spacing w:after="0" w:line="105" w:lineRule="exact"/>
        <w:rPr>
          <w:sz w:val="20"/>
          <w:szCs w:val="20"/>
          <w:color w:val="auto"/>
        </w:rPr>
      </w:pPr>
    </w:p>
    <w:p>
      <w:pPr>
        <w:jc w:val="both"/>
        <w:ind w:left="1260" w:right="1260" w:firstLine="360"/>
        <w:spacing w:after="0" w:line="297" w:lineRule="auto"/>
        <w:rPr>
          <w:sz w:val="20"/>
          <w:szCs w:val="20"/>
          <w:color w:val="auto"/>
        </w:rPr>
      </w:pPr>
      <w:r>
        <w:rPr>
          <w:rFonts w:ascii="Times New Roman" w:cs="Times New Roman" w:eastAsia="Times New Roman" w:hAnsi="Times New Roman"/>
          <w:sz w:val="18"/>
          <w:szCs w:val="18"/>
          <w:color w:val="auto"/>
        </w:rPr>
        <w:t>The following table sets forth the component of enterprise income tax expenses of the Group for the year ended December 31, 2022, 2023 and 2024.</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For the Years Ended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tcPr>
          <w:p>
            <w:pPr>
              <w:ind w:left="17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gridSpan w:val="2"/>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20"/>
                <w:szCs w:val="20"/>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gridSpan w:val="2"/>
          </w:tcPr>
          <w:p>
            <w:pPr>
              <w:spacing w:after="0"/>
              <w:rPr>
                <w:sz w:val="20"/>
                <w:szCs w:val="20"/>
                <w:color w:val="auto"/>
              </w:rPr>
            </w:pPr>
          </w:p>
        </w:tc>
        <w:tc>
          <w:tcPr>
            <w:tcW w:w="5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gridSpan w:val="4"/>
          </w:tcPr>
          <w:p>
            <w:pPr>
              <w:ind w:left="1760"/>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80" w:type="dxa"/>
            <w:vAlign w:val="bottom"/>
          </w:tcPr>
          <w:p>
            <w:pPr>
              <w:spacing w:after="0"/>
              <w:rPr>
                <w:sz w:val="20"/>
                <w:szCs w:val="20"/>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RMB</w:t>
            </w:r>
          </w:p>
        </w:tc>
        <w:tc>
          <w:tcPr>
            <w:tcW w:w="3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020" w:type="dxa"/>
            <w:vAlign w:val="bottom"/>
            <w:gridSpan w:val="4"/>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gridSpan w:val="10"/>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44​​ ​​299,533​​ ​​ 654,380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Deferred income tax benefit</w:t>
            </w:r>
          </w:p>
        </w:tc>
        <w:tc>
          <w:tcPr>
            <w:tcW w:w="1860" w:type="dxa"/>
            <w:vAlign w:val="bottom"/>
            <w:vMerge w:val="restart"/>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6"/>
          </w:tcPr>
          <w:p>
            <w:pPr>
              <w:jc w:val="right"/>
              <w:ind w:right="108"/>
              <w:spacing w:after="0" w:line="202" w:lineRule="exact"/>
              <w:rPr>
                <w:sz w:val="20"/>
                <w:szCs w:val="20"/>
                <w:color w:val="auto"/>
              </w:rPr>
            </w:pPr>
            <w:r>
              <w:rPr>
                <w:rFonts w:ascii="Times New Roman" w:cs="Times New Roman" w:eastAsia="Times New Roman" w:hAnsi="Times New Roman"/>
                <w:sz w:val="18"/>
                <w:szCs w:val="18"/>
                <w:color w:val="auto"/>
              </w:rPr>
              <w:t>(21,708)</w:t>
            </w:r>
          </w:p>
        </w:tc>
        <w:tc>
          <w:tcPr>
            <w:tcW w:w="20" w:type="dxa"/>
            <w:vAlign w:val="bottom"/>
          </w:tcPr>
          <w:p>
            <w:pPr>
              <w:spacing w:after="0"/>
              <w:rPr>
                <w:sz w:val="17"/>
                <w:szCs w:val="17"/>
                <w:color w:val="auto"/>
              </w:rPr>
            </w:pPr>
          </w:p>
        </w:tc>
        <w:tc>
          <w:tcPr>
            <w:tcW w:w="740" w:type="dxa"/>
            <w:vAlign w:val="bottom"/>
            <w:gridSpan w:val="2"/>
          </w:tcPr>
          <w:p>
            <w:pPr>
              <w:jc w:val="right"/>
              <w:ind w:right="14"/>
              <w:spacing w:after="0" w:line="202" w:lineRule="exact"/>
              <w:rPr>
                <w:sz w:val="20"/>
                <w:szCs w:val="20"/>
                <w:color w:val="auto"/>
              </w:rPr>
            </w:pPr>
            <w:r>
              <w:rPr>
                <w:rFonts w:ascii="Times New Roman" w:cs="Times New Roman" w:eastAsia="Times New Roman" w:hAnsi="Times New Roman"/>
                <w:sz w:val="18"/>
                <w:szCs w:val="18"/>
                <w:color w:val="auto"/>
              </w:rPr>
              <w:t>(95,772)</w:t>
            </w:r>
          </w:p>
        </w:tc>
        <w:tc>
          <w:tcPr>
            <w:tcW w:w="780" w:type="dxa"/>
            <w:vAlign w:val="bottom"/>
            <w:gridSpan w:val="5"/>
          </w:tcPr>
          <w:p>
            <w:pPr>
              <w:ind w:left="80"/>
              <w:spacing w:after="0" w:line="202" w:lineRule="exact"/>
              <w:rPr>
                <w:sz w:val="20"/>
                <w:szCs w:val="20"/>
                <w:color w:val="auto"/>
              </w:rPr>
            </w:pPr>
            <w:r>
              <w:rPr>
                <w:rFonts w:ascii="Times New Roman" w:cs="Times New Roman" w:eastAsia="Times New Roman" w:hAnsi="Times New Roman"/>
                <w:sz w:val="18"/>
                <w:szCs w:val="18"/>
                <w:color w:val="auto"/>
                <w:w w:val="96"/>
              </w:rPr>
              <w:t>(126,873)</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160" w:type="dxa"/>
            <w:vAlign w:val="bottom"/>
            <w:gridSpan w:val="3"/>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tcPr>
          <w:p>
            <w:pPr>
              <w:jc w:val="center"/>
              <w:ind w:right="479"/>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3"/>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(benefits)/expense</w:t>
            </w:r>
          </w:p>
        </w:tc>
        <w:tc>
          <w:tcPr>
            <w:tcW w:w="1860" w:type="dxa"/>
            <w:vAlign w:val="bottom"/>
            <w:vMerge w:val="restart"/>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​(21,664)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​203,761</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​527,507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4000" w:type="dxa"/>
            <w:vAlign w:val="bottom"/>
            <w:shd w:val="clear" w:color="auto" w:fill="CCEEFF"/>
          </w:tcPr>
          <w:p>
            <w:pPr>
              <w:spacing w:after="0"/>
              <w:rPr>
                <w:sz w:val="6"/>
                <w:szCs w:val="6"/>
                <w:color w:val="auto"/>
              </w:rPr>
            </w:pPr>
          </w:p>
        </w:tc>
        <w:tc>
          <w:tcPr>
            <w:tcW w:w="1860" w:type="dxa"/>
            <w:vAlign w:val="bottom"/>
            <w:vMerge w:val="continue"/>
            <w:shd w:val="clear" w:color="auto" w:fill="CCEEFF"/>
          </w:tcPr>
          <w:p>
            <w:pPr>
              <w:spacing w:after="0"/>
              <w:rPr>
                <w:sz w:val="6"/>
                <w:szCs w:val="6"/>
                <w:color w:val="auto"/>
              </w:rPr>
            </w:pPr>
          </w:p>
        </w:tc>
        <w:tc>
          <w:tcPr>
            <w:tcW w:w="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3"/>
                <w:szCs w:val="3"/>
                <w:color w:val="auto"/>
              </w:rPr>
              <w:t>​​</w:t>
            </w:r>
          </w:p>
        </w:tc>
        <w:tc>
          <w:tcPr>
            <w:tcW w:w="4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40" w:type="dxa"/>
            <w:vAlign w:val="bottom"/>
            <w:gridSpan w:val="3"/>
            <w:shd w:val="clear" w:color="auto" w:fill="CCEEFF"/>
          </w:tcPr>
          <w:p>
            <w:pPr>
              <w:jc w:val="center"/>
              <w:ind w:right="479"/>
              <w:spacing w:after="0"/>
              <w:rPr>
                <w:sz w:val="20"/>
                <w:szCs w:val="20"/>
                <w:color w:val="auto"/>
              </w:rPr>
            </w:pPr>
            <w:r>
              <w:rPr>
                <w:rFonts w:ascii="Times New Roman" w:cs="Times New Roman" w:eastAsia="Times New Roman" w:hAnsi="Times New Roman"/>
                <w:sz w:val="3"/>
                <w:szCs w:val="3"/>
                <w:color w:val="auto"/>
              </w:rPr>
              <w:t>​​ ​​</w:t>
            </w:r>
          </w:p>
        </w:tc>
        <w:tc>
          <w:tcPr>
            <w:tcW w:w="140" w:type="dxa"/>
            <w:vAlign w:val="bottom"/>
            <w:vMerge w:val="continue"/>
            <w:shd w:val="clear" w:color="auto" w:fill="CCEEFF"/>
          </w:tcPr>
          <w:p>
            <w:pPr>
              <w:spacing w:after="0"/>
              <w:rPr>
                <w:sz w:val="6"/>
                <w:szCs w:val="6"/>
                <w:color w:val="auto"/>
              </w:rPr>
            </w:pP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3"/>
                <w:szCs w:val="3"/>
                <w:color w:val="auto"/>
              </w:rPr>
              <w:t>​​</w:t>
            </w:r>
          </w:p>
        </w:tc>
        <w:tc>
          <w:tcPr>
            <w:tcW w:w="520" w:type="dxa"/>
            <w:vAlign w:val="bottom"/>
            <w:shd w:val="clear" w:color="auto" w:fill="CCEEFF"/>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60" w:right="126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differences between the statutory income tax rate of the PRC and the Group’s effective income tax rate for the years ended December 31, 2022, 2023 and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10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w:t>
            </w:r>
          </w:p>
        </w:tc>
        <w:tc>
          <w:tcPr>
            <w:tcW w:w="2560" w:type="dxa"/>
            <w:vAlign w:val="bottom"/>
          </w:tcPr>
          <w:p>
            <w:pPr>
              <w:ind w:left="24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gridSpan w:val="2"/>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4"/>
          </w:tcPr>
          <w:p>
            <w:pPr>
              <w:jc w:val="right"/>
              <w:ind w:right="3"/>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Pr>
          <w:p>
            <w:pPr>
              <w:jc w:val="right"/>
              <w:ind w:right="116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510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w:t>
            </w:r>
          </w:p>
        </w:tc>
        <w:tc>
          <w:tcPr>
            <w:tcW w:w="256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gridSpan w:val="2"/>
          </w:tcPr>
          <w:p>
            <w:pPr>
              <w:spacing w:after="0"/>
              <w:rPr>
                <w:sz w:val="20"/>
                <w:szCs w:val="20"/>
                <w:color w:val="auto"/>
              </w:rPr>
            </w:pPr>
          </w:p>
        </w:tc>
        <w:tc>
          <w:tcPr>
            <w:tcW w:w="58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27"/>
                <w:szCs w:val="27"/>
                <w:b w:val="1"/>
                <w:bCs w:val="1"/>
                <w:color w:val="auto"/>
                <w:vertAlign w:val="subscript"/>
              </w:rPr>
              <w:t>​ ​</w:t>
            </w:r>
          </w:p>
        </w:tc>
        <w:tc>
          <w:tcPr>
            <w:tcW w:w="60" w:type="dxa"/>
            <w:vAlign w:val="bottom"/>
          </w:tcPr>
          <w:p>
            <w:pPr>
              <w:spacing w:after="0"/>
              <w:rPr>
                <w:sz w:val="20"/>
                <w:szCs w:val="20"/>
                <w:color w:val="auto"/>
              </w:rPr>
            </w:pPr>
          </w:p>
        </w:tc>
        <w:tc>
          <w:tcPr>
            <w:tcW w:w="56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7"/>
                <w:szCs w:val="27"/>
                <w:b w:val="1"/>
                <w:bCs w:val="1"/>
                <w:color w:val="auto"/>
                <w:vertAlign w:val="subscript"/>
              </w:rPr>
              <w:t>​ ​</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tcPr>
          <w:p>
            <w:pPr>
              <w:jc w:val="right"/>
              <w:ind w:right="116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PRC statutory income tax rate</w:t>
            </w:r>
          </w:p>
        </w:tc>
        <w:tc>
          <w:tcPr>
            <w:tcW w:w="3320" w:type="dxa"/>
            <w:vAlign w:val="bottom"/>
            <w:gridSpan w:val="6"/>
          </w:tcPr>
          <w:p>
            <w:pPr>
              <w:ind w:left="2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25.00​​%​</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25.00​​%​</w:t>
            </w:r>
          </w:p>
        </w:tc>
        <w:tc>
          <w:tcPr>
            <w:tcW w:w="1680" w:type="dxa"/>
            <w:vAlign w:val="bottom"/>
            <w:gridSpan w:val="3"/>
          </w:tcPr>
          <w:p>
            <w:pPr>
              <w:jc w:val="right"/>
              <w:ind w:right="1046"/>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43"/>
        </w:trPr>
        <w:tc>
          <w:tcPr>
            <w:tcW w:w="5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Effect of differential tax rate in other jurisdictions</w:t>
            </w:r>
          </w:p>
        </w:tc>
        <w:tc>
          <w:tcPr>
            <w:tcW w:w="2740" w:type="dxa"/>
            <w:vAlign w:val="bottom"/>
            <w:gridSpan w:val="4"/>
          </w:tcPr>
          <w:p>
            <w:pPr>
              <w:ind w:left="2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3"/>
          </w:tcPr>
          <w:p>
            <w:pPr>
              <w:jc w:val="right"/>
              <w:ind w:right="1046"/>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43"/>
        </w:trPr>
        <w:tc>
          <w:tcPr>
            <w:tcW w:w="5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Tax effect of preferential tax treatments</w:t>
            </w:r>
          </w:p>
        </w:tc>
        <w:tc>
          <w:tcPr>
            <w:tcW w:w="3320" w:type="dxa"/>
            <w:vAlign w:val="bottom"/>
            <w:gridSpan w:val="6"/>
          </w:tcPr>
          <w:p>
            <w:pPr>
              <w:ind w:left="2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(0.31​​)%​</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(6.80​​)%​</w:t>
            </w:r>
          </w:p>
        </w:tc>
        <w:tc>
          <w:tcPr>
            <w:tcW w:w="1680" w:type="dxa"/>
            <w:vAlign w:val="bottom"/>
            <w:gridSpan w:val="3"/>
          </w:tcPr>
          <w:p>
            <w:pPr>
              <w:jc w:val="right"/>
              <w:ind w:right="986"/>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43"/>
        </w:trPr>
        <w:tc>
          <w:tcPr>
            <w:tcW w:w="5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Tax effect of permanent differences</w:t>
            </w:r>
          </w:p>
        </w:tc>
        <w:tc>
          <w:tcPr>
            <w:tcW w:w="3320" w:type="dxa"/>
            <w:vAlign w:val="bottom"/>
            <w:gridSpan w:val="6"/>
          </w:tcPr>
          <w:p>
            <w:pPr>
              <w:ind w:left="2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(5.41​​)%​</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2.05​​%​</w:t>
            </w:r>
          </w:p>
        </w:tc>
        <w:tc>
          <w:tcPr>
            <w:tcW w:w="1680" w:type="dxa"/>
            <w:vAlign w:val="bottom"/>
            <w:gridSpan w:val="3"/>
          </w:tcPr>
          <w:p>
            <w:pPr>
              <w:jc w:val="right"/>
              <w:ind w:right="1046"/>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43"/>
        </w:trPr>
        <w:tc>
          <w:tcPr>
            <w:tcW w:w="5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2740" w:type="dxa"/>
            <w:vAlign w:val="bottom"/>
            <w:gridSpan w:val="4"/>
          </w:tcPr>
          <w:p>
            <w:pPr>
              <w:ind w:left="2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3"/>
          </w:tcPr>
          <w:p>
            <w:pPr>
              <w:jc w:val="right"/>
              <w:ind w:right="1046"/>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51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20" w:type="dxa"/>
            <w:vAlign w:val="bottom"/>
            <w:gridSpan w:val="9"/>
          </w:tcPr>
          <w:p>
            <w:pPr>
              <w:jc w:val="right"/>
              <w:ind w:right="1026"/>
              <w:spacing w:after="0"/>
              <w:rPr>
                <w:sz w:val="20"/>
                <w:szCs w:val="20"/>
                <w:color w:val="auto"/>
              </w:rPr>
            </w:pPr>
            <w:r>
              <w:rPr>
                <w:rFonts w:ascii="Times New Roman" w:cs="Times New Roman" w:eastAsia="Times New Roman" w:hAnsi="Times New Roman"/>
                <w:sz w:val="18"/>
                <w:szCs w:val="18"/>
                <w:b w:val="1"/>
                <w:bCs w:val="1"/>
                <w:color w:val="auto"/>
                <w:w w:val="98"/>
              </w:rPr>
              <w:t>​19.28% ​20.25% ​17.34%</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2740" w:type="dxa"/>
            <w:vAlign w:val="bottom"/>
            <w:gridSpan w:val="4"/>
          </w:tcPr>
          <w:p>
            <w:pPr>
              <w:ind w:left="2520"/>
              <w:spacing w:after="0"/>
              <w:rPr>
                <w:sz w:val="20"/>
                <w:szCs w:val="20"/>
                <w:color w:val="auto"/>
              </w:rPr>
            </w:pPr>
            <w:r>
              <w:rPr>
                <w:rFonts w:ascii="Times New Roman" w:cs="Times New Roman" w:eastAsia="Times New Roman" w:hAnsi="Times New Roman"/>
                <w:sz w:val="3"/>
                <w:szCs w:val="3"/>
                <w:color w:val="auto"/>
              </w:rPr>
              <w:t>​ ​​</w:t>
            </w:r>
          </w:p>
        </w:tc>
        <w:tc>
          <w:tcPr>
            <w:tcW w:w="360" w:type="dxa"/>
            <w:vAlign w:val="bottom"/>
          </w:tcPr>
          <w:p>
            <w:pPr>
              <w:spacing w:after="0"/>
              <w:rPr>
                <w:sz w:val="4"/>
                <w:szCs w:val="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360" w:type="dxa"/>
            <w:vAlign w:val="bottom"/>
          </w:tcPr>
          <w:p>
            <w:pPr>
              <w:spacing w:after="0"/>
              <w:rPr>
                <w:sz w:val="4"/>
                <w:szCs w:val="4"/>
                <w:color w:val="auto"/>
              </w:rPr>
            </w:pPr>
          </w:p>
        </w:tc>
        <w:tc>
          <w:tcPr>
            <w:tcW w:w="620" w:type="dxa"/>
            <w:vAlign w:val="bottom"/>
            <w:gridSpan w:val="3"/>
          </w:tcPr>
          <w:p>
            <w:pPr>
              <w:jc w:val="right"/>
              <w:ind w:right="360"/>
              <w:spacing w:after="0"/>
              <w:rPr>
                <w:sz w:val="20"/>
                <w:szCs w:val="20"/>
                <w:color w:val="auto"/>
              </w:rPr>
            </w:pPr>
            <w:r>
              <w:rPr>
                <w:rFonts w:ascii="Times New Roman" w:cs="Times New Roman" w:eastAsia="Times New Roman" w:hAnsi="Times New Roman"/>
                <w:sz w:val="3"/>
                <w:szCs w:val="3"/>
                <w:color w:val="auto"/>
              </w:rPr>
              <w:t>​​ ​​</w:t>
            </w:r>
          </w:p>
        </w:tc>
        <w:tc>
          <w:tcPr>
            <w:tcW w:w="1260" w:type="dxa"/>
            <w:vAlign w:val="bottom"/>
          </w:tcPr>
          <w:p>
            <w:pPr>
              <w:jc w:val="right"/>
              <w:ind w:right="1146"/>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F-38</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1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1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-1327785</wp:posOffset>
            </wp:positionV>
            <wp:extent cx="5212080" cy="15430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-1019175</wp:posOffset>
            </wp:positionV>
            <wp:extent cx="5212080" cy="15430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-1645285</wp:posOffset>
            </wp:positionV>
            <wp:extent cx="5212080" cy="16319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51" w:name="page252"/>
    <w:bookmarkEnd w:id="2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16. TAXATION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 Deferred Taxes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significant components of deferred taxes are as follows:</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40" w:type="dxa"/>
            <w:vAlign w:val="bottom"/>
          </w:tcPr>
          <w:p>
            <w:pPr>
              <w:ind w:left="284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2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40" w:type="dxa"/>
            <w:vAlign w:val="bottom"/>
          </w:tcPr>
          <w:p>
            <w:pPr>
              <w:ind w:left="288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20"/>
                <w:szCs w:val="20"/>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40" w:type="dxa"/>
            <w:vAlign w:val="bottom"/>
          </w:tcPr>
          <w:p>
            <w:pPr>
              <w:ind w:left="288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20"/>
                <w:szCs w:val="20"/>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RMB</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6319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operating tax losses carried forward</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Advertising expenses in excess of deduction limit</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Expected credit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Lease liabilities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Subtotal</w:t>
      </w:r>
    </w:p>
    <w:p>
      <w:pPr>
        <w:spacing w:after="0" w:line="5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Less: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03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Less: deferred tax liabilities in relation to right-of-use asset</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deferred tax assets, net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10,277​​</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56,403​​</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43,794​</w:t>
            </w:r>
          </w:p>
        </w:tc>
        <w:tc>
          <w:tcPr>
            <w:tcW w:w="0" w:type="dxa"/>
            <w:vAlign w:val="bottom"/>
          </w:tcPr>
          <w:p>
            <w:pPr>
              <w:spacing w:after="0"/>
              <w:rPr>
                <w:sz w:val="1"/>
                <w:szCs w:val="1"/>
                <w:color w:val="auto"/>
              </w:rPr>
            </w:pPr>
          </w:p>
        </w:tc>
      </w:tr>
      <w:tr>
        <w:trPr>
          <w:trHeight w:val="257"/>
        </w:trPr>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18,274​​</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41,015​​</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126,368​</w:t>
            </w:r>
          </w:p>
        </w:tc>
        <w:tc>
          <w:tcPr>
            <w:tcW w:w="0" w:type="dxa"/>
            <w:vAlign w:val="bottom"/>
          </w:tcPr>
          <w:p>
            <w:pPr>
              <w:spacing w:after="0"/>
              <w:rPr>
                <w:sz w:val="1"/>
                <w:szCs w:val="1"/>
                <w:color w:val="auto"/>
              </w:rPr>
            </w:pPr>
          </w:p>
        </w:tc>
      </w:tr>
      <w:tr>
        <w:trPr>
          <w:trHeight w:val="257"/>
        </w:trPr>
        <w:tc>
          <w:tcPr>
            <w:tcW w:w="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0" w:type="dxa"/>
            <w:vAlign w:val="bottom"/>
          </w:tcPr>
          <w:p>
            <w:pPr>
              <w:spacing w:after="0"/>
              <w:rPr>
                <w:sz w:val="1"/>
                <w:szCs w:val="1"/>
                <w:color w:val="auto"/>
              </w:rPr>
            </w:pPr>
          </w:p>
        </w:tc>
      </w:tr>
      <w:tr>
        <w:trPr>
          <w:trHeight w:val="256"/>
        </w:trPr>
        <w:tc>
          <w:tcPr>
            <w:tcW w:w="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19,120​​</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102,621​</w:t>
            </w:r>
          </w:p>
        </w:tc>
        <w:tc>
          <w:tcPr>
            <w:tcW w:w="0" w:type="dxa"/>
            <w:vAlign w:val="bottom"/>
          </w:tcPr>
          <w:p>
            <w:pPr>
              <w:spacing w:after="0"/>
              <w:rPr>
                <w:sz w:val="1"/>
                <w:szCs w:val="1"/>
                <w:color w:val="auto"/>
              </w:rPr>
            </w:pPr>
          </w:p>
        </w:tc>
      </w:tr>
      <w:tr>
        <w:trPr>
          <w:trHeight w:val="257"/>
        </w:trPr>
        <w:tc>
          <w:tcPr>
            <w:tcW w:w="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57"/>
        </w:trPr>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15,666​​</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26,555​​</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127,026​</w:t>
            </w:r>
          </w:p>
        </w:tc>
        <w:tc>
          <w:tcPr>
            <w:tcW w:w="0" w:type="dxa"/>
            <w:vAlign w:val="bottom"/>
          </w:tcPr>
          <w:p>
            <w:pPr>
              <w:spacing w:after="0"/>
              <w:rPr>
                <w:sz w:val="1"/>
                <w:szCs w:val="1"/>
                <w:color w:val="auto"/>
              </w:rPr>
            </w:pPr>
          </w:p>
        </w:tc>
      </w:tr>
      <w:tr>
        <w:trPr>
          <w:trHeight w:val="248"/>
        </w:trPr>
        <w:tc>
          <w:tcPr>
            <w:tcW w:w="320" w:type="dxa"/>
            <w:vAlign w:val="bottom"/>
            <w:gridSpan w:val="3"/>
          </w:tcPr>
          <w:p>
            <w:pPr>
              <w:ind w:left="40"/>
              <w:spacing w:after="0" w:line="24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60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273</w:t>
            </w:r>
            <w:r>
              <w:rPr>
                <w:rFonts w:ascii="Times New Roman" w:cs="Times New Roman" w:eastAsia="Times New Roman" w:hAnsi="Times New Roman"/>
                <w:sz w:val="28"/>
                <w:szCs w:val="28"/>
                <w:color w:val="auto"/>
                <w:vertAlign w:val="subscript"/>
              </w:rPr>
              <w:t>​​</w:t>
            </w:r>
          </w:p>
        </w:tc>
        <w:tc>
          <w:tcPr>
            <w:tcW w:w="220" w:type="dxa"/>
            <w:vAlign w:val="bottom"/>
            <w:gridSpan w:val="2"/>
          </w:tcPr>
          <w:p>
            <w:pPr>
              <w:ind w:left="2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0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693</w:t>
            </w:r>
            <w:r>
              <w:rPr>
                <w:rFonts w:ascii="Times New Roman" w:cs="Times New Roman" w:eastAsia="Times New Roman" w:hAnsi="Times New Roman"/>
                <w:sz w:val="28"/>
                <w:szCs w:val="28"/>
                <w:color w:val="auto"/>
                <w:vertAlign w:val="subscript"/>
              </w:rPr>
              <w:t>​​</w:t>
            </w:r>
          </w:p>
        </w:tc>
        <w:tc>
          <w:tcPr>
            <w:tcW w:w="200" w:type="dxa"/>
            <w:vAlign w:val="bottom"/>
            <w:gridSpan w:val="2"/>
          </w:tcPr>
          <w:p>
            <w:pPr>
              <w:ind w:left="4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0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 ​​ 46,579​​</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​​154,585​​</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​​417,325​</w:t>
            </w:r>
          </w:p>
        </w:tc>
        <w:tc>
          <w:tcPr>
            <w:tcW w:w="0" w:type="dxa"/>
            <w:vAlign w:val="bottom"/>
          </w:tcPr>
          <w:p>
            <w:pPr>
              <w:spacing w:after="0"/>
              <w:rPr>
                <w:sz w:val="1"/>
                <w:szCs w:val="1"/>
                <w:color w:val="auto"/>
              </w:rPr>
            </w:pPr>
          </w:p>
        </w:tc>
      </w:tr>
      <w:tr>
        <w:trPr>
          <w:trHeight w:val="256"/>
        </w:trPr>
        <w:tc>
          <w:tcPr>
            <w:tcW w:w="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(38,201​)</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700" w:type="dxa"/>
            <w:vAlign w:val="bottom"/>
            <w:gridSpan w:val="3"/>
          </w:tcPr>
          <w:p>
            <w:pPr>
              <w:jc w:val="right"/>
              <w:ind w:right="18"/>
              <w:spacing w:after="0" w:line="181" w:lineRule="exact"/>
              <w:rPr>
                <w:sz w:val="20"/>
                <w:szCs w:val="20"/>
                <w:color w:val="auto"/>
              </w:rPr>
            </w:pPr>
            <w:r>
              <w:rPr>
                <w:rFonts w:ascii="Times New Roman" w:cs="Times New Roman" w:eastAsia="Times New Roman" w:hAnsi="Times New Roman"/>
                <w:sz w:val="18"/>
                <w:szCs w:val="18"/>
                <w:color w:val="auto"/>
                <w:w w:val="97"/>
              </w:rPr>
              <w:t>​(16,014)</w:t>
            </w:r>
          </w:p>
        </w:tc>
        <w:tc>
          <w:tcPr>
            <w:tcW w:w="100" w:type="dxa"/>
            <w:vAlign w:val="bottom"/>
          </w:tcPr>
          <w:p>
            <w:pPr>
              <w:spacing w:after="0"/>
              <w:rPr>
                <w:sz w:val="15"/>
                <w:szCs w:val="15"/>
                <w:color w:val="auto"/>
              </w:rPr>
            </w:pPr>
          </w:p>
        </w:tc>
        <w:tc>
          <w:tcPr>
            <w:tcW w:w="7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​(28,248)</w:t>
            </w:r>
          </w:p>
        </w:tc>
        <w:tc>
          <w:tcPr>
            <w:tcW w:w="100" w:type="dxa"/>
            <w:vAlign w:val="bottom"/>
          </w:tcPr>
          <w:p>
            <w:pPr>
              <w:spacing w:after="0"/>
              <w:rPr>
                <w:sz w:val="15"/>
                <w:szCs w:val="15"/>
                <w:color w:val="auto"/>
              </w:rPr>
            </w:pPr>
          </w:p>
        </w:tc>
        <w:tc>
          <w:tcPr>
            <w:tcW w:w="70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w w:val="96"/>
              </w:rPr>
              <w:t>​(125,914)</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20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30,565</w:t>
            </w:r>
            <w:r>
              <w:rPr>
                <w:rFonts w:ascii="Times New Roman" w:cs="Times New Roman" w:eastAsia="Times New Roman" w:hAnsi="Times New Roman"/>
                <w:sz w:val="28"/>
                <w:szCs w:val="28"/>
                <w:b w:val="1"/>
                <w:bCs w:val="1"/>
                <w:color w:val="auto"/>
                <w:vertAlign w:val="subscript"/>
              </w:rPr>
              <w:t>​​</w:t>
            </w:r>
          </w:p>
        </w:tc>
        <w:tc>
          <w:tcPr>
            <w:tcW w:w="82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​126,337</w:t>
            </w:r>
            <w:r>
              <w:rPr>
                <w:rFonts w:ascii="Times New Roman" w:cs="Times New Roman" w:eastAsia="Times New Roman" w:hAnsi="Times New Roman"/>
                <w:sz w:val="28"/>
                <w:szCs w:val="28"/>
                <w:b w:val="1"/>
                <w:bCs w:val="1"/>
                <w:color w:val="auto"/>
                <w:vertAlign w:val="subscript"/>
              </w:rPr>
              <w:t>​​</w:t>
            </w:r>
          </w:p>
        </w:tc>
        <w:tc>
          <w:tcPr>
            <w:tcW w:w="80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​253,210</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260" w:space="720"/>
            <w:col w:w="2899"/>
          </w:cols>
          <w:pgMar w:left="580" w:top="97" w:right="1440" w:bottom="1440" w:gutter="0" w:footer="0" w:header="0"/>
          <w:type w:val="continuous"/>
        </w:sectPr>
      </w:pPr>
    </w:p>
    <w:p>
      <w:pPr>
        <w:spacing w:after="0" w:line="25"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tax losses of the Group expire over different time intervals depending on the local jurisdiction. As of December 31, 2024, total net operating tax losses carried forward of the Group, if not utilized, will expire as follows:</w:t>
      </w:r>
    </w:p>
    <w:p>
      <w:pPr>
        <w:sectPr>
          <w:pgSz w:w="11900" w:h="16838" w:orient="portrait"/>
          <w:cols w:equalWidth="0" w:num="1">
            <w:col w:w="9879"/>
          </w:cols>
          <w:pgMar w:left="580" w:top="97" w:right="1440" w:bottom="1440" w:gutter="0" w:footer="0" w:header="0"/>
          <w:type w:val="continuous"/>
        </w:sectPr>
      </w:pP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6319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Loss expiring for the year ending December 31, 2026</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Loss expiring for the year ending December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Loss expiring for the year ending December 31, 2028</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Loss expiring for the year ending December 31,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03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Thereafter</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Subtotal</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19" w:lineRule="exact"/>
        <w:rPr>
          <w:sz w:val="20"/>
          <w:szCs w:val="20"/>
          <w:color w:val="auto"/>
        </w:rPr>
      </w:pPr>
    </w:p>
    <w:p>
      <w:pPr>
        <w:ind w:left="60"/>
        <w:spacing w:after="0"/>
        <w:tabs>
          <w:tab w:leader="none" w:pos="400" w:val="left"/>
        </w:tabs>
        <w:rPr>
          <w:sz w:val="20"/>
          <w:szCs w:val="20"/>
          <w:color w:val="auto"/>
        </w:rPr>
      </w:pPr>
      <w:r>
        <w:rPr>
          <w:rFonts w:ascii="Times New Roman" w:cs="Times New Roman" w:eastAsia="Times New Roman" w:hAnsi="Times New Roman"/>
          <w:sz w:val="18"/>
          <w:szCs w:val="18"/>
          <w:color w:val="auto"/>
        </w:rPr>
        <w:t>​ ​​</w:t>
        <w:tab/>
        <w:t>6,060​</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15,578​</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90,020​</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​​267,974​</w:t>
      </w:r>
    </w:p>
    <w:p>
      <w:pPr>
        <w:ind w:left="60"/>
        <w:spacing w:after="0" w:line="190"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​187,018</w:t>
      </w:r>
      <w:r>
        <w:rPr>
          <w:rFonts w:ascii="Times New Roman" w:cs="Times New Roman" w:eastAsia="Times New Roman" w:hAnsi="Times New Roman"/>
          <w:sz w:val="35"/>
          <w:szCs w:val="35"/>
          <w:color w:val="auto"/>
          <w:vertAlign w:val="subscript"/>
        </w:rPr>
        <w:t>​</w:t>
      </w:r>
    </w:p>
    <w:p>
      <w:pPr>
        <w:ind w:left="60"/>
        <w:spacing w:after="0" w:line="185" w:lineRule="auto"/>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32"/>
          <w:szCs w:val="32"/>
          <w:u w:val="single" w:color="auto"/>
          <w:color w:val="auto"/>
          <w:vertAlign w:val="subscript"/>
        </w:rPr>
        <w:t>​</w:t>
      </w:r>
      <w:r>
        <w:rPr>
          <w:rFonts w:ascii="Times New Roman" w:cs="Times New Roman" w:eastAsia="Times New Roman" w:hAnsi="Times New Roman"/>
          <w:sz w:val="17"/>
          <w:szCs w:val="17"/>
          <w:u w:val="single" w:color="auto"/>
          <w:color w:val="auto"/>
        </w:rPr>
        <w:t>​566,650</w:t>
      </w:r>
      <w:r>
        <w:rPr>
          <w:rFonts w:ascii="Times New Roman" w:cs="Times New Roman" w:eastAsia="Times New Roman" w:hAnsi="Times New Roman"/>
          <w:sz w:val="32"/>
          <w:szCs w:val="32"/>
          <w:color w:val="auto"/>
          <w:vertAlign w:val="subscript"/>
        </w:rPr>
        <w:t>​</w:t>
      </w:r>
    </w:p>
    <w:p>
      <w:pPr>
        <w:spacing w:after="0" w:line="200" w:lineRule="exact"/>
        <w:rPr>
          <w:sz w:val="20"/>
          <w:szCs w:val="20"/>
          <w:color w:val="auto"/>
        </w:rPr>
      </w:pPr>
    </w:p>
    <w:p>
      <w:pPr>
        <w:sectPr>
          <w:pgSz w:w="11900" w:h="16838" w:orient="portrait"/>
          <w:cols w:equalWidth="0" w:num="2">
            <w:col w:w="7920" w:space="720"/>
            <w:col w:w="1239"/>
          </w:cols>
          <w:pgMar w:left="580" w:top="97" w:right="1440" w:bottom="1440" w:gutter="0" w:footer="0" w:header="0"/>
          <w:type w:val="continuous"/>
        </w:sectPr>
      </w:pPr>
    </w:p>
    <w:p>
      <w:pPr>
        <w:spacing w:after="0" w:line="1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 Although there are undistributed earnings of the Company’s subsidiaries in the PRC that are available for distribution to the Company, the undistributed earnings of the Company’s subsidiaries located in the PRC are considered to be indefinitely reinvested, because the Company does not have any present plan to pay any cash dividends on its ordinary shares in the foreseeable future and intends to retain most of its available funds and any future earnings for use in the operation and expansion of its business. Accordingly, no deferred income tax liability</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2" w:name="page253"/>
    <w:bookmarkEnd w:id="2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16. TAXATION (continued)</w:t>
      </w:r>
    </w:p>
    <w:p>
      <w:pPr>
        <w:spacing w:after="0" w:line="229"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has been accrued for the PRC dividend withholding taxes that would be payable upon the distribution of those amounts to the Company as of December 31, 2023 and 2024. The undistributed earnings from the Company’s subsidiaries in the PRC as of December 31, 2023 and 2024 were RMB1,263.41 million and RMB4,025.85 million, respectively. An estimated withholding tax of RMB126.34 million and RMB402.59 million would be due if these earnings were remitted as dividends as of December 31, 2023 and 2024, respectively. The major jurisdiction in which the Group is subject to potential examination is the PRC. In general, the PRC tax authorities have up to five years and in certain cases up to ten years to conduct examinations of the tax filings of the Group. All these related tax years remain subject to a potential examination by the PRC tax authorities.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17. SHARE BASED COMPENSATION EXPENSES</w:t>
      </w:r>
    </w:p>
    <w:p>
      <w:pPr>
        <w:spacing w:after="0" w:line="16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On January 20, 2022, the shareholders and Board of Directors of Beijing Chagee approved the 2021 share option plan (the “2021 Plan”). Under the 2021 Plan, Beijing Chagee authorized shares of Beijing Chagee (equivalent to 13,999,000 shares of the Company upon the Restructuring), to be available to its eligible employees, officers, directors or any other individual as determined by the board of directors. The purpose of the 2021 Plan is to attract and retain exceptionally qualified individuals and to motivate them to exert their best efforts on behalf of the Group by providing incentives through granting awards. On February 28, 2024, the shareholders and Board of Directors of the Company approved a resolution to adopt the Public Company Share Incentive Plan (“2024 Plan”), pursuant to which the Company assumes all outstanding share incentive awards issued under 2021 Plan and to administer the assumed awards pursuant to the 2024 Plan. The maximum aggregate number of ordinary shares that may be issued pursuant to all awards under the 2024 Plan (the “Award Pool”) is 28,061,349.</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Options granted to employees</w:t>
      </w:r>
    </w:p>
    <w:p>
      <w:pPr>
        <w:spacing w:after="0" w:line="148"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options granted under the 2021 Plan have a nominal exercise price and a contractual term of 8 years and were granted with the term that either (i) 100% vested on March 31 of the following year from the day of the grant; or (ii) 25% vested on March 31 of each of the following four years from the day of the grant.</w:t>
      </w:r>
    </w:p>
    <w:p>
      <w:pPr>
        <w:spacing w:after="0" w:line="323"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grantees can exercise vested options before the earlier of: 1) expiration of its contractual term (i.e. 8 years after its grant date); or 2) upon the grantee terminating their employment if the vested option has not been exercised.</w:t>
      </w:r>
    </w:p>
    <w:p>
      <w:pPr>
        <w:spacing w:after="0" w:line="10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Pursuant to the share-based award agreement, if the grantee voluntarily resigns, the Group is entitled to repurchase the shares obtained and held by the grantee from the exercise of options under the 2021 Plan, for which the repurchase price is calculated based on the most recent round of equity financing of the Group. The repurchase right shall become effectively lapsed should the Company complete an IPO. The Group considers such a repurchase term substantive, therefore the share-based awards are considered to have two components, including (i) a cash settled component that vests based on the continued service; and (ii) an equity settled component that vests based on the continued service and the Company completes the IPO. The portion of cash settled awards are accounted for as liability-classified awards and remeasured to an updated fair value at each reporting date until the awards are settled.</w:t>
      </w:r>
    </w:p>
    <w:p>
      <w:pPr>
        <w:spacing w:after="0" w:line="120"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options granted under the 2024 Plan are scheduled to be vested over 4 years evenly from the grant date with a contractual term of 10 years and are subject to services and performance condition as below.</w:t>
      </w:r>
    </w:p>
    <w:p>
      <w:pPr>
        <w:spacing w:after="0" w:line="81"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 June 2024, the Company granted share awards under the 2024 Plan to assume 4,032,703 outstanding share incentive awards issued under the 2021 Plan with the same remaining requisite vesting periods and modification to: i. remove the repurchase provision upon grantee’s voluntarily resignation; ii. modify the contractual term from 8 years to 10 years from the grant date of the replacement awards under 2024 Plan (i.e. 10 years from modification date); iii. on the date of the consummation of an IPO, all of the unvested</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3" w:name="page254"/>
    <w:bookmarkEnd w:id="2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17. SHARE BASED COMPENSATION EXPENSES (continued)</w:t>
      </w:r>
    </w:p>
    <w:p>
      <w:pPr>
        <w:spacing w:after="0" w:line="229"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options shall automatically become fully vested and exercisable. Accordingly, the 2021 Plan was replaced by the 2024 Plan. As the original awards under the 2021 Plan included a liability-classified portion and an improbable equity-classified portion, the Company accounted for the replacement as (i) reclassification of liability classified portion to equity-classified award as a result of removal of the repurchase right and (ii) a Type IV (improbable-to-improbable) modification relating to the improbable equity-classified portion. 264 grantees under the 2021 Plan were affected by the modification. To account for such modification, the Company remeasured the liability of the cash settled component at fair value as of the modification date and reclassified the liability to additional paid-in capital. The incremental fair value in an amount of RMB42.1 million that equals to the difference between the liability balance of the liability-classified portion and the fair value of the modified equity award on the modification date should be recognized upon the completion of the Company’s IPO. The Company does not recognize any share-based compensation expense on the share options relating to the equity-classified portion and the Type IV modification. The Company will recognize share-based compensation expenses in the amount of RMB184.0 million which represents the fair value of the modified award relating to the Type IV modification as of the modification date, upon the completion of the Company’s IPO.</w:t>
      </w:r>
    </w:p>
    <w:p>
      <w:pPr>
        <w:spacing w:after="0" w:line="336"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addition, in June and November 2024, the Company granted additional 5,442,833 options to certain employees that are subject to the grantee’s continuous service of 4 years and are only exercisable upon the completion of the Company’s IPO. As such, there is no share-based compensation expense recognized until the date of consummation of an IPO. The Company will recognize compensation expenses relating to options vested cumulatively upon the Company’s IPO and the remaining compensation expenses, if any, is expected to be recognized over the remaining service period.</w:t>
      </w:r>
    </w:p>
    <w:p>
      <w:pPr>
        <w:spacing w:after="0" w:line="109" w:lineRule="exact"/>
        <w:rPr>
          <w:sz w:val="20"/>
          <w:szCs w:val="20"/>
          <w:color w:val="auto"/>
        </w:rPr>
      </w:pPr>
    </w:p>
    <w:p>
      <w:pPr>
        <w:jc w:val="both"/>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Share-based compensation expense recognized as a result of cash settled components was RMB3,944, RMB3,526 and RMB603 for the years ended December 31, 2022, 2023 and 2024, respectively. Share-based compensation expense recognized as a result of equity settled components was nil for all periods presented as the vest of equity settled component is not probable. If the equity settlement component becomes probable, it will be measured at the grant date fair value.</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86"/>
              </w:rPr>
              <w:t>Weighted-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4"/>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6"/>
              </w:rPr>
              <w:t>intrinsic</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w:t>
            </w:r>
          </w:p>
        </w:tc>
        <w:tc>
          <w:tcPr>
            <w:tcW w:w="960" w:type="dxa"/>
            <w:vAlign w:val="bottom"/>
            <w:gridSpan w:val="2"/>
          </w:tcPr>
          <w:p>
            <w:pPr>
              <w:jc w:val="right"/>
              <w:ind w:right="18"/>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4"/>
                <w:szCs w:val="24"/>
                <w:b w:val="1"/>
                <w:bCs w:val="1"/>
                <w:color w:val="auto"/>
                <w:vertAlign w:val="subscript"/>
              </w:rPr>
              <w:t>​ ​</w:t>
            </w:r>
          </w:p>
        </w:tc>
        <w:tc>
          <w:tcPr>
            <w:tcW w:w="80" w:type="dxa"/>
            <w:vAlign w:val="bottom"/>
          </w:tcPr>
          <w:p>
            <w:pPr>
              <w:spacing w:after="0"/>
              <w:rPr>
                <w:sz w:val="18"/>
                <w:szCs w:val="18"/>
                <w:color w:val="auto"/>
              </w:rPr>
            </w:pPr>
          </w:p>
        </w:tc>
        <w:tc>
          <w:tcPr>
            <w:tcW w:w="48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500" w:type="dxa"/>
            <w:vAlign w:val="bottom"/>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7"/>
              </w:rPr>
              <w:t>term</w:t>
            </w:r>
          </w:p>
        </w:tc>
        <w:tc>
          <w:tcPr>
            <w:tcW w:w="40" w:type="dxa"/>
            <w:vAlign w:val="bottom"/>
          </w:tcPr>
          <w:p>
            <w:pPr>
              <w:spacing w:after="0"/>
              <w:rPr>
                <w:sz w:val="18"/>
                <w:szCs w:val="18"/>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1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spacing w:after="0"/>
              <w:rPr>
                <w:sz w:val="18"/>
                <w:szCs w:val="18"/>
                <w:color w:val="auto"/>
              </w:rPr>
            </w:pPr>
          </w:p>
        </w:tc>
        <w:tc>
          <w:tcPr>
            <w:tcW w:w="760" w:type="dxa"/>
            <w:vAlign w:val="bottom"/>
            <w:gridSpan w:val="4"/>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per share</w:t>
            </w:r>
          </w:p>
        </w:tc>
        <w:tc>
          <w:tcPr>
            <w:tcW w:w="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500" w:type="dxa"/>
            <w:vAlign w:val="bottom"/>
            <w:gridSpan w:val="3"/>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40" w:type="dxa"/>
            <w:vAlign w:val="bottom"/>
          </w:tcPr>
          <w:p>
            <w:pPr>
              <w:spacing w:after="0"/>
              <w:rPr>
                <w:sz w:val="18"/>
                <w:szCs w:val="18"/>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1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90"/>
        </w:trPr>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 2024</w:t>
            </w:r>
          </w:p>
        </w:tc>
        <w:tc>
          <w:tcPr>
            <w:tcW w:w="1380" w:type="dxa"/>
            <w:vAlign w:val="bottom"/>
            <w:gridSpan w:val="5"/>
            <w:shd w:val="clear" w:color="auto" w:fill="CCEEFF"/>
          </w:tcPr>
          <w:p>
            <w:pPr>
              <w:ind w:left="18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​11,133,850</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w:t>
            </w:r>
          </w:p>
        </w:tc>
        <w:tc>
          <w:tcPr>
            <w:tcW w:w="660" w:type="dxa"/>
            <w:vAlign w:val="bottom"/>
            <w:gridSpan w:val="5"/>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15"/>
                <w:szCs w:val="15"/>
                <w:b w:val="1"/>
                <w:bCs w:val="1"/>
                <w:color w:val="auto"/>
              </w:rPr>
              <w:t xml:space="preserve"> ​​​</w:t>
            </w:r>
          </w:p>
        </w:tc>
        <w:tc>
          <w:tcPr>
            <w:tcW w:w="660" w:type="dxa"/>
            <w:vAlign w:val="bottom"/>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​6.75</w:t>
            </w:r>
          </w:p>
        </w:tc>
        <w:tc>
          <w:tcPr>
            <w:tcW w:w="900" w:type="dxa"/>
            <w:vAlign w:val="bottom"/>
            <w:gridSpan w:val="5"/>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352,238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gridSpan w:val="2"/>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 (replacement options)</w:t>
            </w:r>
          </w:p>
        </w:tc>
        <w:tc>
          <w:tcPr>
            <w:tcW w:w="13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 xml:space="preserve">​​​ 4,032,703​​​ </w:t>
            </w:r>
            <w:r>
              <w:rPr>
                <w:rFonts w:ascii="Times New Roman" w:cs="Times New Roman" w:eastAsia="Times New Roman" w:hAnsi="Times New Roman"/>
                <w:sz w:val="18"/>
                <w:szCs w:val="18"/>
                <w:b w:val="1"/>
                <w:bCs w:val="1"/>
                <w:color w:val="auto"/>
              </w:rPr>
              <w:t>​</w:t>
            </w: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(new options)</w:t>
            </w:r>
          </w:p>
        </w:tc>
        <w:tc>
          <w:tcPr>
            <w:tcW w:w="204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5,442,833​​​ ​3.7614 ​​​</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Exercised</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2"/>
                <w:szCs w:val="22"/>
                <w:color w:val="auto"/>
              </w:rPr>
            </w:pP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60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Forfeited</w:t>
            </w:r>
          </w:p>
        </w:tc>
        <w:tc>
          <w:tcPr>
            <w:tcW w:w="34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2"/>
            <w:shd w:val="clear" w:color="auto" w:fill="CCEEFF"/>
          </w:tcPr>
          <w:p>
            <w:pPr>
              <w:jc w:val="right"/>
              <w:ind w:right="98"/>
              <w:spacing w:after="0" w:line="202" w:lineRule="exact"/>
              <w:rPr>
                <w:sz w:val="20"/>
                <w:szCs w:val="20"/>
                <w:color w:val="auto"/>
              </w:rPr>
            </w:pPr>
            <w:r>
              <w:rPr>
                <w:rFonts w:ascii="Times New Roman" w:cs="Times New Roman" w:eastAsia="Times New Roman" w:hAnsi="Times New Roman"/>
                <w:sz w:val="18"/>
                <w:szCs w:val="18"/>
                <w:color w:val="auto"/>
              </w:rPr>
              <w:t>(129,047)</w:t>
            </w:r>
          </w:p>
        </w:tc>
        <w:tc>
          <w:tcPr>
            <w:tcW w:w="56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rPr>
              <w:t>1.6752</w:t>
            </w:r>
          </w:p>
        </w:tc>
        <w:tc>
          <w:tcPr>
            <w:tcW w:w="1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20" w:type="dxa"/>
            <w:vAlign w:val="bottom"/>
            <w:shd w:val="clear" w:color="auto" w:fill="CCEEFF"/>
          </w:tcPr>
          <w:p>
            <w:pPr>
              <w:spacing w:after="0"/>
              <w:rPr>
                <w:sz w:val="4"/>
                <w:szCs w:val="4"/>
                <w:color w:val="auto"/>
              </w:rPr>
            </w:pPr>
          </w:p>
        </w:tc>
        <w:tc>
          <w:tcPr>
            <w:tcW w:w="1720" w:type="dxa"/>
            <w:vAlign w:val="bottom"/>
            <w:shd w:val="clear" w:color="auto" w:fill="CCEEFF"/>
          </w:tcPr>
          <w:p>
            <w:pPr>
              <w:spacing w:after="0"/>
              <w:rPr>
                <w:sz w:val="4"/>
                <w:szCs w:val="4"/>
                <w:color w:val="auto"/>
              </w:rPr>
            </w:pPr>
          </w:p>
        </w:tc>
        <w:tc>
          <w:tcPr>
            <w:tcW w:w="2660" w:type="dxa"/>
            <w:vAlign w:val="bottom"/>
            <w:shd w:val="clear" w:color="auto" w:fill="CCEEFF"/>
          </w:tcPr>
          <w:p>
            <w:pPr>
              <w:spacing w:after="0"/>
              <w:rPr>
                <w:sz w:val="4"/>
                <w:szCs w:val="4"/>
                <w:color w:val="auto"/>
              </w:rPr>
            </w:pPr>
          </w:p>
        </w:tc>
        <w:tc>
          <w:tcPr>
            <w:tcW w:w="340" w:type="dxa"/>
            <w:vAlign w:val="bottom"/>
            <w:gridSpan w:val="2"/>
            <w:vMerge w:val="continue"/>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8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80" w:type="dxa"/>
            <w:vAlign w:val="bottom"/>
            <w:gridSpan w:val="3"/>
            <w:vMerge w:val="continue"/>
            <w:shd w:val="clear" w:color="auto" w:fill="CCEEFF"/>
          </w:tcPr>
          <w:p>
            <w:pPr>
              <w:spacing w:after="0"/>
              <w:rPr>
                <w:sz w:val="4"/>
                <w:szCs w:val="4"/>
                <w:color w:val="auto"/>
              </w:rPr>
            </w:pPr>
          </w:p>
        </w:tc>
        <w:tc>
          <w:tcPr>
            <w:tcW w:w="260" w:type="dxa"/>
            <w:vAlign w:val="bottom"/>
            <w:gridSpan w:val="2"/>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260" w:type="dxa"/>
            <w:vAlign w:val="bottom"/>
            <w:gridSpan w:val="3"/>
            <w:vMerge w:val="continue"/>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6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Replaced</w:t>
            </w:r>
          </w:p>
        </w:tc>
        <w:tc>
          <w:tcPr>
            <w:tcW w:w="280" w:type="dxa"/>
            <w:vAlign w:val="bottom"/>
          </w:tcPr>
          <w:p>
            <w:pPr>
              <w:spacing w:after="0"/>
              <w:rPr>
                <w:sz w:val="17"/>
                <w:szCs w:val="17"/>
                <w:color w:val="auto"/>
              </w:rPr>
            </w:pPr>
          </w:p>
        </w:tc>
        <w:tc>
          <w:tcPr>
            <w:tcW w:w="1020" w:type="dxa"/>
            <w:vAlign w:val="bottom"/>
            <w:gridSpan w:val="3"/>
          </w:tcPr>
          <w:p>
            <w:pPr>
              <w:jc w:val="right"/>
              <w:ind w:right="98"/>
              <w:spacing w:after="0" w:line="202" w:lineRule="exact"/>
              <w:rPr>
                <w:sz w:val="20"/>
                <w:szCs w:val="20"/>
                <w:color w:val="auto"/>
              </w:rPr>
            </w:pPr>
            <w:r>
              <w:rPr>
                <w:rFonts w:ascii="Times New Roman" w:cs="Times New Roman" w:eastAsia="Times New Roman" w:hAnsi="Times New Roman"/>
                <w:sz w:val="18"/>
                <w:szCs w:val="18"/>
                <w:color w:val="auto"/>
              </w:rPr>
              <w:t>​(4,032,703)</w:t>
            </w:r>
          </w:p>
        </w:tc>
        <w:tc>
          <w:tcPr>
            <w:tcW w:w="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340" w:type="dxa"/>
            <w:vAlign w:val="bottom"/>
            <w:gridSpan w:val="2"/>
          </w:tcPr>
          <w:p>
            <w:pPr>
              <w:ind w:left="180"/>
              <w:spacing w:after="0" w:line="68" w:lineRule="exact"/>
              <w:rPr>
                <w:sz w:val="20"/>
                <w:szCs w:val="20"/>
                <w:color w:val="auto"/>
              </w:rPr>
            </w:pPr>
            <w:r>
              <w:rPr>
                <w:rFonts w:ascii="Times New Roman" w:cs="Times New Roman" w:eastAsia="Times New Roman" w:hAnsi="Times New Roman"/>
                <w:sz w:val="7"/>
                <w:szCs w:val="7"/>
                <w:color w:val="auto"/>
              </w:rPr>
              <w:t>​​​</w:t>
            </w:r>
          </w:p>
        </w:tc>
        <w:tc>
          <w:tcPr>
            <w:tcW w:w="760" w:type="dxa"/>
            <w:vAlign w:val="bottom"/>
          </w:tcPr>
          <w:p>
            <w:pPr>
              <w:spacing w:after="0"/>
              <w:rPr>
                <w:sz w:val="5"/>
                <w:szCs w:val="5"/>
                <w:color w:val="auto"/>
              </w:rPr>
            </w:pPr>
          </w:p>
        </w:tc>
        <w:tc>
          <w:tcPr>
            <w:tcW w:w="2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gridSpan w:val="3"/>
            <w:vMerge w:val="continue"/>
          </w:tcPr>
          <w:p>
            <w:pPr>
              <w:spacing w:after="0"/>
              <w:rPr>
                <w:sz w:val="5"/>
                <w:szCs w:val="5"/>
                <w:color w:val="auto"/>
              </w:rPr>
            </w:pPr>
          </w:p>
        </w:tc>
        <w:tc>
          <w:tcPr>
            <w:tcW w:w="260" w:type="dxa"/>
            <w:vAlign w:val="bottom"/>
            <w:gridSpan w:val="2"/>
          </w:tcPr>
          <w:p>
            <w:pPr>
              <w:ind w:left="160"/>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gridSpan w:val="3"/>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40" w:type="dxa"/>
            <w:vAlign w:val="bottom"/>
            <w:gridSpan w:val="2"/>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tc>
        <w:tc>
          <w:tcPr>
            <w:tcW w:w="2040" w:type="dxa"/>
            <w:vAlign w:val="bottom"/>
            <w:gridSpan w:val="10"/>
            <w:shd w:val="clear" w:color="auto" w:fill="CCEEFF"/>
          </w:tcPr>
          <w:p>
            <w:pPr>
              <w:ind w:left="18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​16,447,636</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 xml:space="preserve">​1.2316 </w:t>
            </w:r>
            <w:r>
              <w:rPr>
                <w:rFonts w:ascii="Times New Roman" w:cs="Times New Roman" w:eastAsia="Times New Roman" w:hAnsi="Times New Roman"/>
                <w:sz w:val="28"/>
                <w:szCs w:val="28"/>
                <w:b w:val="1"/>
                <w:bCs w:val="1"/>
                <w:color w:val="auto"/>
                <w:vertAlign w:val="subscript"/>
              </w:rPr>
              <w:t>​​​</w:t>
            </w:r>
          </w:p>
        </w:tc>
        <w:tc>
          <w:tcPr>
            <w:tcW w:w="660" w:type="dxa"/>
            <w:vAlign w:val="bottom"/>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​9.51</w:t>
            </w:r>
          </w:p>
        </w:tc>
        <w:tc>
          <w:tcPr>
            <w:tcW w:w="900" w:type="dxa"/>
            <w:vAlign w:val="bottom"/>
            <w:gridSpan w:val="5"/>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​1,535,522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gridSpan w:val="2"/>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Vested and expected to be vested as of December 31, 2024</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2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than 0.01</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5326380</wp:posOffset>
            </wp:positionH>
            <wp:positionV relativeFrom="paragraph">
              <wp:posOffset>-942340</wp:posOffset>
            </wp:positionV>
            <wp:extent cx="22288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-942340</wp:posOffset>
            </wp:positionV>
            <wp:extent cx="432054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4" w:name="page255"/>
    <w:bookmarkEnd w:id="2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17. SHARE BASED COMPENSATION EXPENSES (continued)</w:t>
      </w:r>
    </w:p>
    <w:p>
      <w:pPr>
        <w:spacing w:after="0" w:line="22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weighted average fair value at measurement date of share options granted during the years ended December 31, 2022, 2023 and 2024 were RMB7.07, RMB9.78 and RMB40.56, respectively.</w:t>
      </w:r>
    </w:p>
    <w:p>
      <w:pPr>
        <w:spacing w:after="0" w:line="8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aggregated intrinsic value of share options outstanding and exercisable as of December 31, 2022, 2023 and 2024, was calculated based on the fair value of the Company’s ordinary shares on December 31, 2022, 2023 and 2024, respectively.</w:t>
      </w:r>
    </w:p>
    <w:p>
      <w:pPr>
        <w:spacing w:after="0" w:line="109"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As of December 31, 2024, there was RMB488.0 million of unrecognized share-based compensation expense. Total unrecognized compensation cost may be adjusted for actual forfeitures occurring in the future.</w:t>
      </w:r>
    </w:p>
    <w:p>
      <w:pPr>
        <w:spacing w:after="0" w:line="3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There was no income tax benefit recognized in the consolidated statements of operations and comprehensive (loss)/income for share-based compensation expenses and the Group did not capitalize any of the share-based compensation expenses as part of the cost of any assets during the years ended December 31, 2022, 2023 and 2024.</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employee share options</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estimated fair value of share options was determined using the binomial option valuation model, with the assistance from an independent third-party appraiser. The binomial model requires the input of highly subjective assumptions, including the expected share price volatility. For expected volatilities, the Company has made reference to historical volatilities of several comparable companies. The dividend yield is estimated based on the Company’s expected dividend policy over the expected term of the options. The risk-free rate for periods within the contractual lives of the options is based on the market yield of U.S. Treasury Bonds in effect at the time of grant. The estimated fair value of the ordinary shares, at the option grant dates, were determined with the assistance from an independent third-party appraiser. The Company’s management is ultimately responsible for the determination of the estimated fair value of its ordinary shares.</w:t>
      </w:r>
    </w:p>
    <w:p>
      <w:pPr>
        <w:spacing w:after="0" w:line="32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estimated fair value of each option granted is estimated on the date of grant using the Binominal option-pricing model with the following assumptions: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3"/>
          </w:tcPr>
          <w:p>
            <w:pP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2022</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3"/>
          </w:tcPr>
          <w:p>
            <w:pP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2023</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3"/>
          </w:tcPr>
          <w:p>
            <w:pP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RMB</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3"/>
          </w:tcPr>
          <w:p>
            <w:pP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RMB</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3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2"/>
        </w:trPr>
        <w:tc>
          <w:tcPr>
            <w:tcW w:w="50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Risk-free interest rate (per annum)</w:t>
            </w:r>
          </w:p>
        </w:tc>
        <w:tc>
          <w:tcPr>
            <w:tcW w:w="48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2.75%</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8"/>
              </w:rPr>
              <w:t>2.80%</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2.21% – 4.57%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060" w:type="dxa"/>
            <w:vAlign w:val="bottom"/>
            <w:shd w:val="clear" w:color="auto" w:fill="CCEEFF"/>
          </w:tcPr>
          <w:p>
            <w:pPr>
              <w:spacing w:after="0"/>
              <w:rPr>
                <w:sz w:val="4"/>
                <w:szCs w:val="4"/>
                <w:color w:val="auto"/>
              </w:rPr>
            </w:pPr>
          </w:p>
        </w:tc>
        <w:tc>
          <w:tcPr>
            <w:tcW w:w="480" w:type="dxa"/>
            <w:vAlign w:val="bottom"/>
            <w:vMerge w:val="continue"/>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60" w:type="dxa"/>
            <w:vAlign w:val="bottom"/>
            <w:shd w:val="clear" w:color="auto" w:fill="CCEEFF"/>
          </w:tcPr>
          <w:p>
            <w:pPr>
              <w:jc w:val="right"/>
              <w:ind w:right="17"/>
              <w:spacing w:after="0" w:line="54" w:lineRule="exact"/>
              <w:rPr>
                <w:sz w:val="20"/>
                <w:szCs w:val="20"/>
                <w:color w:val="auto"/>
              </w:rPr>
            </w:pPr>
            <w:r>
              <w:rPr>
                <w:rFonts w:ascii="Times New Roman" w:cs="Times New Roman" w:eastAsia="Times New Roman" w:hAnsi="Times New Roman"/>
                <w:sz w:val="6"/>
                <w:szCs w:val="6"/>
                <w:color w:val="auto"/>
              </w:rPr>
              <w:t>​​</w:t>
            </w:r>
          </w:p>
        </w:tc>
        <w:tc>
          <w:tcPr>
            <w:tcW w:w="140" w:type="dxa"/>
            <w:vAlign w:val="bottom"/>
            <w:gridSpan w:val="2"/>
            <w:vMerge w:val="continue"/>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60" w:type="dxa"/>
            <w:vAlign w:val="bottom"/>
            <w:shd w:val="clear" w:color="auto" w:fill="CCEEFF"/>
          </w:tcPr>
          <w:p>
            <w:pPr>
              <w:jc w:val="right"/>
              <w:ind w:right="17"/>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vMerge w:val="continue"/>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Expected volatility</w:t>
            </w:r>
          </w:p>
        </w:tc>
        <w:tc>
          <w:tcPr>
            <w:tcW w:w="4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8"/>
          </w:tcPr>
          <w:p>
            <w:pPr>
              <w:jc w:val="right"/>
              <w:spacing w:after="0" w:line="202" w:lineRule="exact"/>
              <w:rPr>
                <w:sz w:val="20"/>
                <w:szCs w:val="20"/>
                <w:color w:val="auto"/>
              </w:rPr>
            </w:pPr>
            <w:r>
              <w:rPr>
                <w:rFonts w:ascii="Times New Roman" w:cs="Times New Roman" w:eastAsia="Times New Roman" w:hAnsi="Times New Roman"/>
                <w:sz w:val="18"/>
                <w:szCs w:val="18"/>
                <w:color w:val="auto"/>
              </w:rPr>
              <w:t>35.51% 36.82%</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38.00% – 39.91%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06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4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40" w:type="dxa"/>
            <w:vAlign w:val="bottom"/>
          </w:tcPr>
          <w:p>
            <w:pPr>
              <w:spacing w:after="0"/>
              <w:rPr>
                <w:sz w:val="4"/>
                <w:szCs w:val="4"/>
                <w:color w:val="auto"/>
              </w:rPr>
            </w:pPr>
          </w:p>
        </w:tc>
        <w:tc>
          <w:tcPr>
            <w:tcW w:w="160" w:type="dxa"/>
            <w:vAlign w:val="bottom"/>
          </w:tcPr>
          <w:p>
            <w:pPr>
              <w:jc w:val="right"/>
              <w:ind w:right="17"/>
              <w:spacing w:after="0" w:line="54" w:lineRule="exact"/>
              <w:rPr>
                <w:sz w:val="20"/>
                <w:szCs w:val="20"/>
                <w:color w:val="auto"/>
              </w:rPr>
            </w:pPr>
            <w:r>
              <w:rPr>
                <w:rFonts w:ascii="Times New Roman" w:cs="Times New Roman" w:eastAsia="Times New Roman" w:hAnsi="Times New Roman"/>
                <w:sz w:val="6"/>
                <w:szCs w:val="6"/>
                <w:color w:val="auto"/>
              </w:rPr>
              <w:t>​​</w:t>
            </w:r>
          </w:p>
        </w:tc>
        <w:tc>
          <w:tcPr>
            <w:tcW w:w="14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40" w:type="dxa"/>
            <w:vAlign w:val="bottom"/>
          </w:tcPr>
          <w:p>
            <w:pPr>
              <w:spacing w:after="0"/>
              <w:rPr>
                <w:sz w:val="4"/>
                <w:szCs w:val="4"/>
                <w:color w:val="auto"/>
              </w:rPr>
            </w:pPr>
          </w:p>
        </w:tc>
        <w:tc>
          <w:tcPr>
            <w:tcW w:w="160" w:type="dxa"/>
            <w:vAlign w:val="bottom"/>
          </w:tcPr>
          <w:p>
            <w:pPr>
              <w:jc w:val="right"/>
              <w:ind w:right="17"/>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Expected dividend yield</w:t>
            </w:r>
          </w:p>
        </w:tc>
        <w:tc>
          <w:tcPr>
            <w:tcW w:w="48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0.00%</w:t>
            </w:r>
          </w:p>
        </w:tc>
        <w:tc>
          <w:tcPr>
            <w:tcW w:w="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8"/>
              </w:rPr>
              <w:t>0.00%</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0.00%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060" w:type="dxa"/>
            <w:vAlign w:val="bottom"/>
            <w:shd w:val="clear" w:color="auto" w:fill="CCEEFF"/>
          </w:tcPr>
          <w:p>
            <w:pPr>
              <w:spacing w:after="0"/>
              <w:rPr>
                <w:sz w:val="4"/>
                <w:szCs w:val="4"/>
                <w:color w:val="auto"/>
              </w:rPr>
            </w:pPr>
          </w:p>
        </w:tc>
        <w:tc>
          <w:tcPr>
            <w:tcW w:w="480" w:type="dxa"/>
            <w:vAlign w:val="bottom"/>
            <w:vMerge w:val="continue"/>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60" w:type="dxa"/>
            <w:vAlign w:val="bottom"/>
            <w:shd w:val="clear" w:color="auto" w:fill="CCEEFF"/>
          </w:tcPr>
          <w:p>
            <w:pPr>
              <w:jc w:val="right"/>
              <w:ind w:right="17"/>
              <w:spacing w:after="0" w:line="54" w:lineRule="exact"/>
              <w:rPr>
                <w:sz w:val="20"/>
                <w:szCs w:val="20"/>
                <w:color w:val="auto"/>
              </w:rPr>
            </w:pPr>
            <w:r>
              <w:rPr>
                <w:rFonts w:ascii="Times New Roman" w:cs="Times New Roman" w:eastAsia="Times New Roman" w:hAnsi="Times New Roman"/>
                <w:sz w:val="6"/>
                <w:szCs w:val="6"/>
                <w:color w:val="auto"/>
              </w:rPr>
              <w:t>​​</w:t>
            </w:r>
          </w:p>
        </w:tc>
        <w:tc>
          <w:tcPr>
            <w:tcW w:w="140" w:type="dxa"/>
            <w:vAlign w:val="bottom"/>
            <w:gridSpan w:val="2"/>
            <w:vMerge w:val="continue"/>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60" w:type="dxa"/>
            <w:vAlign w:val="bottom"/>
            <w:shd w:val="clear" w:color="auto" w:fill="CCEEFF"/>
          </w:tcPr>
          <w:p>
            <w:pPr>
              <w:jc w:val="right"/>
              <w:ind w:right="17"/>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vMerge w:val="continue"/>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Expected post-vesting forfeiture rate</w:t>
            </w:r>
          </w:p>
        </w:tc>
        <w:tc>
          <w:tcPr>
            <w:tcW w:w="4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0.00%</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w w:val="98"/>
              </w:rPr>
              <w:t>0.97%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0.00%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06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jc w:val="right"/>
              <w:ind w:right="17"/>
              <w:spacing w:after="0" w:line="54" w:lineRule="exact"/>
              <w:rPr>
                <w:sz w:val="20"/>
                <w:szCs w:val="20"/>
                <w:color w:val="auto"/>
              </w:rPr>
            </w:pPr>
            <w:r>
              <w:rPr>
                <w:rFonts w:ascii="Times New Roman" w:cs="Times New Roman" w:eastAsia="Times New Roman" w:hAnsi="Times New Roman"/>
                <w:sz w:val="6"/>
                <w:szCs w:val="6"/>
                <w:color w:val="auto"/>
              </w:rPr>
              <w:t>​​</w:t>
            </w:r>
          </w:p>
        </w:tc>
        <w:tc>
          <w:tcPr>
            <w:tcW w:w="14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jc w:val="right"/>
              <w:ind w:right="17"/>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the underlying shares on the date of option grants</w:t>
            </w:r>
          </w:p>
        </w:tc>
        <w:tc>
          <w:tcPr>
            <w:tcW w:w="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7.07​​</w:t>
            </w:r>
          </w:p>
        </w:tc>
        <w:tc>
          <w:tcPr>
            <w:tcW w:w="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9.78​​</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57.05 – 102.21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2023, an aggregate of 1,046,761 Class A and 1,610,888 Class B ordinary shares beneficially owned by Junjie Zhang, Xianggui Peng and Peibang Gong, who are also employees of the Company, were exchanged at a premium for Series B preferred shares. Junjie Zhang, Xianggui Peng and Peibang Gong are the ultimate controllers and beneficial owners of Partea Ltd., TasTea Ltd., and TEALATTE Ltd., which are the shareholders of Chagee Holdings Limited. The difference between the fair value of the newly issued preferred shares and the former ordinary shares was recorded as share-based compensation expenses in 2023, amounted to RMB7.0 million. For details, please refer to Note 18.</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18. ORDINARY SHARES</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Company was incorporated on May 12, 2023. As part of the Restructuring the Company issued a total of 107,101,149 ordinary shares to the affiliates of certain then shareholders of Beijing Chagee. As of</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5" w:name="page256"/>
    <w:bookmarkEnd w:id="2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18. ORDINARY SHARES (continued)</w:t>
      </w:r>
    </w:p>
    <w:p>
      <w:pPr>
        <w:spacing w:after="0" w:line="229"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December 31, 2024, the Company had 104,443,500 of ordinary shares issued, including 39,169,393 of Class A ordinary shares and 65,274,107 of Class B ordinary shares and the Company had 98,743,892 of ordinary share outstanding, including 33,469,785 of Class A ordinary shares and 65,274,107 of Class B ordinary shares.</w:t>
      </w:r>
    </w:p>
    <w:p>
      <w:pPr>
        <w:spacing w:after="0" w:line="341" w:lineRule="exact"/>
        <w:rPr>
          <w:sz w:val="20"/>
          <w:szCs w:val="20"/>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As a result of the Restructuring the Company retrospectively adjusted the number of ordinary shares as if the Restructuring occurred at the beginning of the period presented, for details of Restructuring, please refer to Note 1(b).</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Super voting rights</w:t>
      </w:r>
    </w:p>
    <w:p>
      <w:pPr>
        <w:spacing w:after="0" w:line="148"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On July 5, 2023, the Company changed its capital structure to re-designate its ordinary shares into Class A ordinary shares and Class B ordinary shares. Mr. Junjie Zhang, chairman of the board of directors, and Chief Executive Officer (“CEO”) of the Company holds Class B ordinary shares through a British Virgin Islands (“BVI”) company and each Class B ordinary share carries ten (10) votes at meetings of shareholders while each Class A ordinary share is entitled to one vote. Upon further transfer of Class B ordinary shares by Mr. Junjie Zhang to anyone, such Class B ordinary shares will automatically convert into an equal number of Class A ordinary shares. The Class B ordinary Shares shall be automatically and immediately converted into an equal number of Class A ordinary shares when Mr. Junjie Zhang ceases to be the CEO of the Company or the chairman of the board of directors of the Company.</w:t>
      </w:r>
    </w:p>
    <w:p>
      <w:pPr>
        <w:spacing w:after="0" w:line="124" w:lineRule="exact"/>
        <w:rPr>
          <w:sz w:val="20"/>
          <w:szCs w:val="20"/>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The grant of the super voting rights was authorized by the board of directors on July 20, 2023. There are no additional vesting conditions attached to the grant. The incremental value of Class B ordinary shares is not significant.</w:t>
      </w:r>
    </w:p>
    <w:p>
      <w:pPr>
        <w:spacing w:after="0" w:line="101"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In 2023, an aggregate of 1,046,761 Class A and 1,610,888 Class B ordinary shares held beneficially owned by Junjie Zhang, Xianggui Peng and Peibang Gong, who are employees of the Company, were exchanged at a premium for Series B preferred shares. Junjie Zhang, Xianggui Peng and Peibang Gong are the ultimate controllers and beneficial owners of Partea Ltd., TasTea Ltd., and TEALATTE Ltd., which are the shareholders of Chagee Holdings Limited. Such Series B preferred shares were then sold to certain preferred shareholders. The exchange was accounted for as a repurchase and retirement of ordinary shares with the newly issued preferred shares. The difference between the fair value of the newly issued preferred shares and the former ordinary shares was recorded as share-based compensation expenses in 2023, amounted to RMB7.0 million. The excess of ordinary share’s fair value over par value was charged entirely to retained earnings upon retirement.</w:t>
      </w:r>
    </w:p>
    <w:p>
      <w:pPr>
        <w:spacing w:after="0" w:line="354"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On December 25, 2023, the Company repurchased and redeemed an aggregate of 2,729,630 Class B ordinary shares from Partea Ltd. and subsequently issued an aggregate of 2,729,630 Class A ordinary shares to TeaTide Limited on the same date. The difference between the fair value of the newly issued ordinary shares and the former ordinary shares was immaterial.</w:t>
      </w:r>
    </w:p>
    <w:p>
      <w:pPr>
        <w:spacing w:after="0" w:line="105"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On April 30, 2024, the Company repurchased an aggregate of 5,699,608 Class A ordinary shares from Brewtopia Limited, Brew Tea-ful Limited, TeaSoul Limited and Tea Tropolis Limited with total cash consideration of RMB210.1 million. RMB95.0 million was paid in April 2024 and RMB115.1 million was paid subsequently in July 2024. The Company recorded the shares repurchased as treasury stock.</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19. CONVERTIBLE REDEEMABLE PREFERRED SHARES</w:t>
      </w:r>
    </w:p>
    <w:p>
      <w:pPr>
        <w:spacing w:after="0" w:line="148" w:lineRule="exact"/>
        <w:rPr>
          <w:sz w:val="20"/>
          <w:szCs w:val="20"/>
          <w:color w:val="auto"/>
        </w:rPr>
      </w:pPr>
    </w:p>
    <w:p>
      <w:pPr>
        <w:jc w:val="both"/>
        <w:ind w:left="1260" w:right="419" w:firstLine="360"/>
        <w:spacing w:after="0" w:line="295" w:lineRule="auto"/>
        <w:rPr>
          <w:sz w:val="20"/>
          <w:szCs w:val="20"/>
          <w:color w:val="auto"/>
        </w:rPr>
      </w:pPr>
      <w:r>
        <w:rPr>
          <w:rFonts w:ascii="Times New Roman" w:cs="Times New Roman" w:eastAsia="Times New Roman" w:hAnsi="Times New Roman"/>
          <w:sz w:val="18"/>
          <w:szCs w:val="18"/>
          <w:color w:val="auto"/>
        </w:rPr>
        <w:t>Beijing Chagee obtained financing through Series A and Series B preferred shares from 2020, and the Company completed financing through Series B+ preferred shares in 2023. (Series A preferred shares, Series B</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6" w:name="page257"/>
    <w:bookmarkEnd w:id="2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19. CONVERTIBLE REDEEMABLE PREFERRED SHARES (continued)</w:t>
      </w:r>
    </w:p>
    <w:p>
      <w:pPr>
        <w:spacing w:after="0" w:line="22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preferred shares and Series B+ preferred shares are collectively referred to as “Preferred Shares”). The following table summarizes the issuances of Preferred Shares:</w:t>
      </w:r>
    </w:p>
    <w:tbl>
      <w:tblPr>
        <w:tblLayout w:type="fixed"/>
        <w:tblInd w:w="1260" w:type="dxa"/>
        <w:tblCellMar>
          <w:top w:w="0" w:type="dxa"/>
          <w:left w:w="0" w:type="dxa"/>
          <w:bottom w:w="0" w:type="dxa"/>
          <w:right w:w="0" w:type="dxa"/>
        </w:tblCellMar>
      </w:tblPr>
      <w:tr>
        <w:trPr>
          <w:trHeight w:val="351"/>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4360" w:type="dxa"/>
            <w:vAlign w:val="bottom"/>
            <w:gridSpan w:val="7"/>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Issue Price per share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Shares Issued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Aggregated Issuance Price</w:t>
            </w:r>
            <w:r>
              <w:rPr>
                <w:rFonts w:ascii="Times New Roman" w:cs="Times New Roman" w:eastAsia="Times New Roman" w:hAnsi="Times New Roman"/>
                <w:sz w:val="28"/>
                <w:szCs w:val="28"/>
                <w:b w:val="1"/>
                <w:bCs w:val="1"/>
                <w:color w:val="auto"/>
                <w:vertAlign w:val="subscript"/>
              </w:rPr>
              <w:t>​</w:t>
            </w:r>
          </w:p>
        </w:tc>
      </w:tr>
      <w:tr>
        <w:trPr>
          <w:trHeight w:val="20"/>
        </w:trPr>
        <w:tc>
          <w:tcPr>
            <w:tcW w:w="2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December 25, 2020</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RMB4.7</w:t>
            </w:r>
          </w:p>
        </w:tc>
        <w:tc>
          <w:tcPr>
            <w:tcW w:w="2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33,777,482​ ​ RMB160,000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February 22, 2021</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RMB4.7</w:t>
            </w:r>
          </w:p>
        </w:tc>
        <w:tc>
          <w:tcPr>
            <w:tcW w:w="2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1,055,546 ​ ​ RMB5,000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May 14, 2021</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RMB11.4</w:t>
            </w:r>
          </w:p>
        </w:tc>
        <w:tc>
          <w:tcPr>
            <w:tcW w:w="2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12,256,755​ ​ RMB140,000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July 20, 2023</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RMB16.2</w:t>
            </w:r>
          </w:p>
        </w:tc>
        <w:tc>
          <w:tcPr>
            <w:tcW w:w="2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12,780,417​ ​ RMB209,902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December 5, 2023</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RMB16.2</w:t>
            </w:r>
          </w:p>
        </w:tc>
        <w:tc>
          <w:tcPr>
            <w:tcW w:w="2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7,594,160 ​ ​ RMB123,000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4871720</wp:posOffset>
            </wp:positionH>
            <wp:positionV relativeFrom="paragraph">
              <wp:posOffset>-830580</wp:posOffset>
            </wp:positionV>
            <wp:extent cx="13716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-830580</wp:posOffset>
            </wp:positionV>
            <wp:extent cx="13716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-830580</wp:posOffset>
            </wp:positionV>
            <wp:extent cx="13716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-830580</wp:posOffset>
            </wp:positionV>
            <wp:extent cx="13716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3"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Note*: In the above table, the number of shares and the issue price per share have been retrospectively adjusted as if the Restructuring has been completed at the beginning of the period presented.</w:t>
      </w: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Note**: In July 2023, the Company has entered into a share purchase agreement with one Series B+ preferred shareholder, agreeing that the shareholder shall purchase 7,594,160 Series B+ preferred shares of the Company with cash consideration of RMB123 million when it completes certain regulatory procedures. The Company accounted for its obligation to issue Series B+ preferred shares at fixed predetermined price as a forward contract. This forward contract is classified as a liability and measured at fair value, with changes in fair value reported in earnings. The transaction was completed in December 2023, with fair value change loss of the forward contract of RMB105 million recognized in the consolidated statements of operations and comprehensive (loss)/income for the year ended December 31, 2023.</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  Preferred Shares of Beijing Chagee</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key terms of Series A and Series B preferred shares of Beijing Chagee are as follows: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Automatic Conversion</w:t>
      </w:r>
    </w:p>
    <w:p>
      <w:pPr>
        <w:spacing w:after="0" w:line="16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Series A and Series B preferred share of Beijing Chagee shall automatically be converted into the same number of ordinary shares of Beijing Chagee, upon the closing of a Qualified IPO of Beijing Chagee as defined in the Memorandum and Articles of Association.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16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preferred shareholders shall have redemption rights upon the occurrence of any of the following events: (i) Beijing Chagee fails to complete a Qualified IPO on or before December 28, 2027; (ii) a material breach by the Group companies or Mr. Junjie Zhang (the “Founder”); (iii) any Group companies or the Founder is in violation of any applicable laws, or has been convicted of fraud, willful misconduct or other intentional inappropriate acts, resulting in a material adverse effect, or (iv) any other shareholder request to redeem its shares.</w:t>
      </w:r>
    </w:p>
    <w:p>
      <w:pPr>
        <w:spacing w:after="0" w:line="11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redemption price for each outstanding preferred share shall be equal to the aggregate of (x) the applicable preferred share issue price, and (y) an amount at a simple interest of twelve percent (12%), plus</w:t>
      </w:r>
    </w:p>
    <w:p>
      <w:pPr>
        <w:ind w:left="1260"/>
        <w:spacing w:after="0"/>
        <w:rPr>
          <w:sz w:val="20"/>
          <w:szCs w:val="20"/>
          <w:color w:val="auto"/>
        </w:rPr>
      </w:pPr>
      <w:r>
        <w:rPr>
          <w:rFonts w:ascii="Times New Roman" w:cs="Times New Roman" w:eastAsia="Times New Roman" w:hAnsi="Times New Roman"/>
          <w:sz w:val="18"/>
          <w:szCs w:val="18"/>
          <w:color w:val="auto"/>
        </w:rPr>
        <w:t>(z) any declared but unpaid dividends.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Beijing Chagee, whether voluntary or involuntary, the preferred shareholders shall be entitled to receive, prior and in preference to the ordinary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7" w:name="page258"/>
    <w:bookmarkEnd w:id="2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19. CONVERTIBLE REDEEMABLE PREFERRED SHARES (continued)</w:t>
      </w:r>
    </w:p>
    <w:p>
      <w:pPr>
        <w:spacing w:after="0" w:line="22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shares, the higher of (i) the original issue price, plus any declared but unpaid dividends; and (ii) such amount per share as would have been payable on an if-converted basis (the “Preference Amount”).</w:t>
      </w:r>
    </w:p>
    <w:p>
      <w:pPr>
        <w:spacing w:after="0" w:line="9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the assets and funds available for distribution shall be insufficient: (1) First, the distribution should be made to Series B preferred shareholders according to the relative proportion of their shares; (2) Secondly, distribution will be made to Series A preferred shareholders according to the relative proportion of their shares; (3) Any remaining assets and funds shall be distributed ratably among the shareholders based on the number of Ordinary Shares held by such shareholder (excluding preferred shares on as-converted basis).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First, each holder of Series B Preferred Shares is entitled to receive cumulative dividends at the simple rate per annum of 8% of the Series B issue price, payable if and when declared by the board of directors.</w:t>
      </w:r>
    </w:p>
    <w:p>
      <w:pPr>
        <w:spacing w:after="0" w:line="81"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Second, after full payment of dividends to the holders of the Series B Preferred Shares, each holder of the Series A Preferred Shares is entitled to receive cumulative dividends at the simple rate per annum of 8% of the Series A issue price, payable if and when declared by the board of directors.</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Lastly, if after the preferential dividends relating to the Preferred Shares as described above have been paid in full or declared and set apart for payment in any fiscal year of the Company, the holders of Preferred Shares shall be entitled to a proportionate share of any dividend or distribution on an if-converted basis.</w:t>
      </w:r>
    </w:p>
    <w:p>
      <w:pPr>
        <w:spacing w:after="0" w:line="10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Notwithstanding the dividend rights as described above, if any dividend or distribution distributed ratably among holders of Preferred Shares and Ordinary Shares (on an as-converted basis) and each holder of Preferred Shares has received all such amounts not less than the dividends or other like amount would have received in accordance with the dividend rights as described above, any dividend or distribution shall be distributed ratably among holders of Preferred Shares and Ordinary Shares (on an as-converted basis).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Each preferred share shall carry a number of votes equal to the number of ordinary shares then issuable upon its conversion into Class A ordinary shares.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  Preferred Shares of the Company</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Upon completion of the Restructuring, the Series A and Series B preferred shares of Beijing Chagee were exchanged into Series A and Series B preferred shares of the Company.</w:t>
      </w:r>
    </w:p>
    <w:p>
      <w:pPr>
        <w:spacing w:after="0" w:line="9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key terms of Series A, Series B and Series B+ preferred shares of the Company are substantially the same as those of Series A and Series B preferred shares of Beijing Chagee, except that the following terms were added or amended: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Optional Conversion</w:t>
      </w:r>
    </w:p>
    <w:p>
      <w:pPr>
        <w:spacing w:after="0" w:line="146"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Unless converted earlier pursuant to the Automatic Conversion, any Series A, Series B and Series B+ preferred shares may, at the option of the holder thereof, be converted at any time into fully-paid and non-assessable Class A Ordinary Shares of the Company, based on the then effective conversion price.</w:t>
      </w:r>
    </w:p>
    <w:p>
      <w:pPr>
        <w:spacing w:after="0" w:line="10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initial conversion ratio of preferred shares to ordinary shares shall be 1:1 and shall be subject to adjustments in the event of issuance or deemed issuance of additional ordinary shares below the preferred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8" w:name="page259"/>
    <w:bookmarkEnd w:id="2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19. CONVERTIBLE REDEEMABLE PREFERRED SHARES (continued)</w:t>
      </w:r>
    </w:p>
    <w:p>
      <w:pPr>
        <w:spacing w:after="0" w:line="229" w:lineRule="exact"/>
        <w:rPr>
          <w:sz w:val="20"/>
          <w:szCs w:val="20"/>
          <w:color w:val="auto"/>
        </w:rPr>
      </w:pPr>
    </w:p>
    <w:p>
      <w:pPr>
        <w:jc w:val="both"/>
        <w:ind w:left="1260" w:right="419"/>
        <w:spacing w:after="0" w:line="297" w:lineRule="auto"/>
        <w:rPr>
          <w:sz w:val="20"/>
          <w:szCs w:val="20"/>
          <w:color w:val="auto"/>
        </w:rPr>
      </w:pPr>
      <w:r>
        <w:rPr>
          <w:rFonts w:ascii="Times New Roman" w:cs="Times New Roman" w:eastAsia="Times New Roman" w:hAnsi="Times New Roman"/>
          <w:sz w:val="18"/>
          <w:szCs w:val="18"/>
          <w:color w:val="auto"/>
        </w:rPr>
        <w:t>share conversion price, or share dividends, subdivisions, combinations or consolidations of ordinary shares, other distributions, or reclassification, exchange and substitution.</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48" w:lineRule="exact"/>
        <w:rPr>
          <w:sz w:val="20"/>
          <w:szCs w:val="20"/>
          <w:color w:val="auto"/>
        </w:rPr>
      </w:pPr>
    </w:p>
    <w:p>
      <w:pPr>
        <w:jc w:val="both"/>
        <w:ind w:left="1260" w:right="419" w:firstLine="360"/>
        <w:spacing w:after="0" w:line="281" w:lineRule="auto"/>
        <w:rPr>
          <w:sz w:val="20"/>
          <w:szCs w:val="20"/>
          <w:color w:val="auto"/>
        </w:rPr>
      </w:pPr>
      <w:r>
        <w:rPr>
          <w:rFonts w:ascii="Times New Roman" w:cs="Times New Roman" w:eastAsia="Times New Roman" w:hAnsi="Times New Roman"/>
          <w:sz w:val="18"/>
          <w:szCs w:val="18"/>
          <w:color w:val="auto"/>
        </w:rPr>
        <w:t>If the assets and funds available for distribution shall be insufficient, then the entire assets and funds of the Company legally available for distribution shall be distributed ratably among the preferred shareholders in proportion to the aggregate amount of the Preference Amount.</w:t>
      </w:r>
    </w:p>
    <w:p>
      <w:pPr>
        <w:spacing w:after="0" w:line="96" w:lineRule="exact"/>
        <w:rPr>
          <w:sz w:val="20"/>
          <w:szCs w:val="20"/>
          <w:color w:val="auto"/>
        </w:rPr>
      </w:pPr>
    </w:p>
    <w:p>
      <w:pPr>
        <w:jc w:val="both"/>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Deemed Liquidation Event includes: (i) any transaction or series of transactions, whether by merger, consolidation, amalgamation, sale or issuance of equity, scheme of arrangement or otherwise, which results in a change in control of the Company; (ii) a disposition of all or substantially all of the assets of the Group as a whole; or (iii) the exclusive licensing of all or substantially all of any Group’s Intellectual Property to a third party.</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62" w:lineRule="exact"/>
        <w:rPr>
          <w:sz w:val="20"/>
          <w:szCs w:val="20"/>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Each holder of Series B+ Preferred Shares is entitled to receive cumulative dividends at the simple rate per annum of 8% of the Series B+ issue price, payable if and when declared by the board of directors, in preference than Series B and Series A preferred shareholders.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Preferred Shares</w:t>
      </w:r>
    </w:p>
    <w:p>
      <w:pPr>
        <w:spacing w:after="0" w:line="14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Company has classified the Preferred Shares in the mezzanine equity of the consolidated balance sheets as they are contingently redeemable at the option of the holders. Each issuance of preferred shares is recognized at the respective fair value at the date of issuance net of issuance costs. The issuance costs for Series A, Series B and Series B+ Preferred Shares were RMB0.3 million, RMB3.1 million and nil. In addition, the Group records accretions on the Preferred Shares to the redemption values from the issuance dates to the earliest redemption dates. The accretions use the effective interest method and are recorded against retained earnings, or in the absence of retained earnings, by charges against additional paid-in capital. Once additional paid-in capital has been exhausted, additional charges are recorded by increasing the accumulated deficit.</w:t>
      </w:r>
    </w:p>
    <w:p>
      <w:pPr>
        <w:spacing w:after="0" w:line="338" w:lineRule="exact"/>
        <w:rPr>
          <w:sz w:val="20"/>
          <w:szCs w:val="20"/>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The Company determined that the embedded conversion features and the redemption features do not require bifurcation as they either are clearly and closely related to the Preferred Shares or do not meet the definition of a derivative.</w:t>
      </w:r>
    </w:p>
    <w:p>
      <w:pPr>
        <w:spacing w:after="0" w:line="115" w:lineRule="exact"/>
        <w:rPr>
          <w:sz w:val="20"/>
          <w:szCs w:val="20"/>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The exchange of Series A and Series B preferred shares of Beijing Chagee into Series A and Series B preferred shares of the Company and related changes in terms were accounted for as a modification with immaterial difference between the fair value of the preferred shares before and after the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9" w:name="page260"/>
    <w:bookmarkEnd w:id="2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19. CONVERTIBLE REDEEMABLE PREFERRED SHARES (continued)</w:t>
      </w:r>
    </w:p>
    <w:p>
      <w:pPr>
        <w:spacing w:after="0" w:line="229"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color w:val="auto"/>
        </w:rPr>
        <w:t>The Company’s preferred shares activity for the years ended December 31, 2022, 2023 and 2024, respectively, is summarized below:</w:t>
      </w:r>
    </w:p>
    <w:p>
      <w:pPr>
        <w:spacing w:after="0" w:line="2"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920" w:type="dxa"/>
            <w:vAlign w:val="bottom"/>
            <w:gridSpan w:val="19"/>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Series A Preferred Shares </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Series B Preferred Shares </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Series B+ Preferred Shares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Total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top w:val="single" w:sz="8" w:color="auto"/>
            </w:tcBorders>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3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Borders>
              <w:top w:val="single" w:sz="8" w:color="auto"/>
            </w:tcBorders>
            <w:gridSpan w:val="4"/>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80" w:type="dxa"/>
            <w:vAlign w:val="bottom"/>
          </w:tcPr>
          <w:p>
            <w:pPr>
              <w:spacing w:after="0"/>
              <w:rPr>
                <w:sz w:val="14"/>
                <w:szCs w:val="14"/>
                <w:color w:val="auto"/>
              </w:rPr>
            </w:pPr>
          </w:p>
        </w:tc>
        <w:tc>
          <w:tcPr>
            <w:tcW w:w="1000" w:type="dxa"/>
            <w:vAlign w:val="bottom"/>
            <w:tcBorders>
              <w:top w:val="single" w:sz="8" w:color="auto"/>
            </w:tcBorders>
            <w:gridSpan w:val="3"/>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5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00" w:type="dxa"/>
            <w:vAlign w:val="bottom"/>
          </w:tcPr>
          <w:p>
            <w:pPr>
              <w:spacing w:after="0"/>
              <w:rPr>
                <w:sz w:val="18"/>
                <w:szCs w:val="18"/>
                <w:color w:val="auto"/>
              </w:rPr>
            </w:pPr>
          </w:p>
        </w:tc>
        <w:tc>
          <w:tcPr>
            <w:tcW w:w="92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w:t>
            </w:r>
          </w:p>
        </w:tc>
        <w:tc>
          <w:tcPr>
            <w:tcW w:w="54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4"/>
              </w:rPr>
              <w:t>shares</w:t>
            </w:r>
          </w:p>
        </w:tc>
        <w:tc>
          <w:tcPr>
            <w:tcW w:w="200" w:type="dxa"/>
            <w:vAlign w:val="bottom"/>
          </w:tcPr>
          <w:p>
            <w:pPr>
              <w:spacing w:after="0"/>
              <w:rPr>
                <w:sz w:val="18"/>
                <w:szCs w:val="18"/>
                <w:color w:val="auto"/>
              </w:rPr>
            </w:pPr>
          </w:p>
        </w:tc>
        <w:tc>
          <w:tcPr>
            <w:tcW w:w="7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2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36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14"/>
        </w:trPr>
        <w:tc>
          <w:tcPr>
            <w:tcW w:w="2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shd w:val="clear" w:color="auto" w:fill="CCEEFF"/>
          </w:tcPr>
          <w:p>
            <w:pPr>
              <w:spacing w:after="0"/>
              <w:rPr>
                <w:sz w:val="21"/>
                <w:szCs w:val="21"/>
                <w:color w:val="auto"/>
              </w:rPr>
            </w:pPr>
          </w:p>
        </w:tc>
        <w:tc>
          <w:tcPr>
            <w:tcW w:w="3560" w:type="dxa"/>
            <w:vAlign w:val="bottom"/>
            <w:tcBorders>
              <w:right w:val="single" w:sz="8" w:color="CCEEFF"/>
            </w:tcBorders>
            <w:gridSpan w:val="1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34,833,028​​​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178,253​​​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12,256,755​​​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143,919​​​</w:t>
            </w: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21"/>
                <w:szCs w:val="21"/>
                <w:color w:val="auto"/>
              </w:rPr>
            </w:pPr>
          </w:p>
        </w:tc>
        <w:tc>
          <w:tcPr>
            <w:tcW w:w="44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322,172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Accretion on convertible</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redeemable preferred shares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 redemption value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16,336​​​​</w:t>
            </w:r>
          </w:p>
        </w:tc>
        <w:tc>
          <w:tcPr>
            <w:tcW w:w="540" w:type="dxa"/>
            <w:vAlign w:val="bottom"/>
          </w:tcPr>
          <w:p>
            <w:pPr>
              <w:spacing w:after="0"/>
              <w:rPr>
                <w:sz w:val="22"/>
                <w:szCs w:val="22"/>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13,865​​​</w:t>
            </w: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2"/>
                <w:szCs w:val="22"/>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30,201​</w:t>
            </w:r>
          </w:p>
        </w:tc>
        <w:tc>
          <w:tcPr>
            <w:tcW w:w="0" w:type="dxa"/>
            <w:vAlign w:val="bottom"/>
          </w:tcPr>
          <w:p>
            <w:pPr>
              <w:spacing w:after="0"/>
              <w:rPr>
                <w:sz w:val="1"/>
                <w:szCs w:val="1"/>
                <w:color w:val="auto"/>
              </w:rPr>
            </w:pPr>
          </w:p>
        </w:tc>
      </w:tr>
      <w:tr>
        <w:trPr>
          <w:trHeight w:val="20"/>
        </w:trPr>
        <w:tc>
          <w:tcPr>
            <w:tcW w:w="2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340" w:type="dxa"/>
            <w:vAlign w:val="bottom"/>
            <w:gridSpan w:val="2"/>
            <w:vMerge w:val="continue"/>
            <w:shd w:val="clear" w:color="auto" w:fill="CCEEFF"/>
          </w:tcPr>
          <w:p>
            <w:pPr>
              <w:spacing w:after="0"/>
              <w:rPr>
                <w:sz w:val="18"/>
                <w:szCs w:val="18"/>
                <w:color w:val="auto"/>
              </w:rPr>
            </w:pPr>
          </w:p>
        </w:tc>
        <w:tc>
          <w:tcPr>
            <w:tcW w:w="3560" w:type="dxa"/>
            <w:vAlign w:val="bottom"/>
            <w:tcBorders>
              <w:right w:val="single" w:sz="8" w:color="CCEEFF"/>
            </w:tcBorders>
            <w:gridSpan w:val="12"/>
            <w:vMerge w:val="restart"/>
            <w:shd w:val="clear" w:color="auto" w:fill="CCEEFF"/>
          </w:tcPr>
          <w:p>
            <w:pPr>
              <w:ind w:left="40"/>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​34,833,028</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​194,589</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​12,256,755</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​157,784</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35"/>
                <w:szCs w:val="35"/>
                <w:b w:val="1"/>
                <w:bCs w:val="1"/>
                <w:color w:val="auto"/>
                <w:vertAlign w:val="superscript"/>
              </w:rPr>
              <w:t>​</w:t>
            </w:r>
          </w:p>
        </w:tc>
        <w:tc>
          <w:tcPr>
            <w:tcW w:w="13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​352,373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shd w:val="clear" w:color="auto" w:fill="CCEEFF"/>
          </w:tcPr>
          <w:p>
            <w:pPr>
              <w:spacing w:after="0"/>
              <w:rPr>
                <w:sz w:val="23"/>
                <w:szCs w:val="23"/>
                <w:color w:val="auto"/>
              </w:rPr>
            </w:pPr>
          </w:p>
        </w:tc>
        <w:tc>
          <w:tcPr>
            <w:tcW w:w="3560" w:type="dxa"/>
            <w:vAlign w:val="bottom"/>
            <w:tcBorders>
              <w:right w:val="single" w:sz="8" w:color="CCEEFF"/>
            </w:tcBorders>
            <w:gridSpan w:val="12"/>
            <w:vMerge w:val="continue"/>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40" w:type="dxa"/>
            <w:vAlign w:val="bottom"/>
            <w:tcBorders>
              <w:right w:val="single" w:sz="8" w:color="CCEEFF"/>
            </w:tcBorders>
            <w:gridSpan w:val="2"/>
            <w:vMerge w:val="continue"/>
            <w:shd w:val="clear" w:color="auto" w:fill="CCEEFF"/>
          </w:tcPr>
          <w:p>
            <w:pPr>
              <w:spacing w:after="0"/>
              <w:rPr>
                <w:sz w:val="23"/>
                <w:szCs w:val="23"/>
                <w:color w:val="auto"/>
              </w:rPr>
            </w:pPr>
          </w:p>
        </w:tc>
        <w:tc>
          <w:tcPr>
            <w:tcW w:w="1300" w:type="dxa"/>
            <w:vAlign w:val="bottom"/>
            <w:gridSpan w:val="3"/>
            <w:vMerge w:val="continue"/>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bottom w:val="single" w:sz="8" w:color="CCEEFF"/>
            </w:tcBorders>
            <w:gridSpan w:val="2"/>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Issuance of Series B+</w:t>
            </w: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3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Shares, net of</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cost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1"/>
                <w:szCs w:val="21"/>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1"/>
                <w:szCs w:val="21"/>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54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20,374,577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436,905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436,905​</w:t>
            </w:r>
          </w:p>
        </w:tc>
        <w:tc>
          <w:tcPr>
            <w:tcW w:w="0" w:type="dxa"/>
            <w:vAlign w:val="bottom"/>
          </w:tcPr>
          <w:p>
            <w:pPr>
              <w:spacing w:after="0"/>
              <w:rPr>
                <w:sz w:val="1"/>
                <w:szCs w:val="1"/>
                <w:color w:val="auto"/>
              </w:rPr>
            </w:pPr>
          </w:p>
        </w:tc>
      </w:tr>
      <w:tr>
        <w:trPr>
          <w:trHeight w:val="225"/>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on convertible</w:t>
            </w:r>
          </w:p>
        </w:tc>
        <w:tc>
          <w:tcPr>
            <w:tcW w:w="20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shares</w:t>
            </w:r>
          </w:p>
        </w:tc>
        <w:tc>
          <w:tcPr>
            <w:tcW w:w="2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redemption value</w:t>
            </w:r>
          </w:p>
        </w:tc>
        <w:tc>
          <w:tcPr>
            <w:tcW w:w="2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17,832​​​</w:t>
            </w: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16,652​​​</w:t>
            </w: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21"/>
                <w:szCs w:val="21"/>
                <w:color w:val="auto"/>
              </w:rPr>
            </w:pPr>
          </w:p>
        </w:tc>
        <w:tc>
          <w:tcPr>
            <w:tcW w:w="44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43,330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Series B Preferred</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2,657,649​​​​ 39,172​​​</w:t>
            </w: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2"/>
                <w:szCs w:val="22"/>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39,172​</w:t>
            </w:r>
          </w:p>
        </w:tc>
        <w:tc>
          <w:tcPr>
            <w:tcW w:w="0" w:type="dxa"/>
            <w:vAlign w:val="bottom"/>
          </w:tcPr>
          <w:p>
            <w:pPr>
              <w:spacing w:after="0"/>
              <w:rPr>
                <w:sz w:val="1"/>
                <w:szCs w:val="1"/>
                <w:color w:val="auto"/>
              </w:rPr>
            </w:pPr>
          </w:p>
        </w:tc>
      </w:tr>
      <w:tr>
        <w:trPr>
          <w:trHeight w:val="20"/>
        </w:trPr>
        <w:tc>
          <w:tcPr>
            <w:tcW w:w="2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340" w:type="dxa"/>
            <w:vAlign w:val="bottom"/>
            <w:gridSpan w:val="2"/>
            <w:vMerge w:val="continue"/>
            <w:shd w:val="clear" w:color="auto" w:fill="CCEEFF"/>
          </w:tcPr>
          <w:p>
            <w:pPr>
              <w:spacing w:after="0"/>
              <w:rPr>
                <w:sz w:val="18"/>
                <w:szCs w:val="18"/>
                <w:color w:val="auto"/>
              </w:rPr>
            </w:pPr>
          </w:p>
        </w:tc>
        <w:tc>
          <w:tcPr>
            <w:tcW w:w="5860" w:type="dxa"/>
            <w:vAlign w:val="bottom"/>
            <w:gridSpan w:val="18"/>
            <w:vMerge w:val="restart"/>
            <w:shd w:val="clear" w:color="auto" w:fill="CCEEFF"/>
          </w:tcPr>
          <w:p>
            <w:pPr>
              <w:ind w:left="40"/>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​34,833,028</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​212,421</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​14,914,404</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​213,608</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 xml:space="preserve">​20,374,577 </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 xml:space="preserve">​445,751 </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​871,780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shd w:val="clear" w:color="auto" w:fill="CCEEFF"/>
          </w:tcPr>
          <w:p>
            <w:pPr>
              <w:spacing w:after="0"/>
              <w:rPr>
                <w:sz w:val="23"/>
                <w:szCs w:val="23"/>
                <w:color w:val="auto"/>
              </w:rPr>
            </w:pPr>
          </w:p>
        </w:tc>
        <w:tc>
          <w:tcPr>
            <w:tcW w:w="5860" w:type="dxa"/>
            <w:vAlign w:val="bottom"/>
            <w:gridSpan w:val="18"/>
            <w:vMerge w:val="continue"/>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bottom w:val="single" w:sz="8" w:color="CCEEFF"/>
            </w:tcBorders>
            <w:gridSpan w:val="2"/>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Accretion on convertible</w:t>
            </w: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3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redeemable preferred shares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 redemption value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19,523​​​​</w:t>
            </w:r>
          </w:p>
        </w:tc>
        <w:tc>
          <w:tcPr>
            <w:tcW w:w="540" w:type="dxa"/>
            <w:vAlign w:val="bottom"/>
          </w:tcPr>
          <w:p>
            <w:pPr>
              <w:spacing w:after="0"/>
              <w:rPr>
                <w:sz w:val="22"/>
                <w:szCs w:val="22"/>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21,107​​​</w:t>
            </w: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2"/>
                <w:szCs w:val="22"/>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21,370 ​​​​ 62,000​</w:t>
            </w:r>
          </w:p>
        </w:tc>
        <w:tc>
          <w:tcPr>
            <w:tcW w:w="0" w:type="dxa"/>
            <w:vAlign w:val="bottom"/>
          </w:tcPr>
          <w:p>
            <w:pPr>
              <w:spacing w:after="0"/>
              <w:rPr>
                <w:sz w:val="1"/>
                <w:szCs w:val="1"/>
                <w:color w:val="auto"/>
              </w:rPr>
            </w:pPr>
          </w:p>
        </w:tc>
      </w:tr>
      <w:tr>
        <w:trPr>
          <w:trHeight w:val="20"/>
        </w:trPr>
        <w:tc>
          <w:tcPr>
            <w:tcW w:w="2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340" w:type="dxa"/>
            <w:vAlign w:val="bottom"/>
            <w:gridSpan w:val="2"/>
            <w:vMerge w:val="continue"/>
            <w:shd w:val="clear" w:color="auto" w:fill="CCEEFF"/>
          </w:tcPr>
          <w:p>
            <w:pPr>
              <w:spacing w:after="0"/>
              <w:rPr>
                <w:sz w:val="18"/>
                <w:szCs w:val="18"/>
                <w:color w:val="auto"/>
              </w:rPr>
            </w:pPr>
          </w:p>
        </w:tc>
        <w:tc>
          <w:tcPr>
            <w:tcW w:w="5860" w:type="dxa"/>
            <w:vAlign w:val="bottom"/>
            <w:gridSpan w:val="18"/>
            <w:vMerge w:val="restart"/>
            <w:shd w:val="clear" w:color="auto" w:fill="CCEEFF"/>
          </w:tcPr>
          <w:p>
            <w:pPr>
              <w:ind w:left="40"/>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​34,833,028</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​231,944</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​14,914,404</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​234,715</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 xml:space="preserve">​20,374,577 </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 xml:space="preserve">​467,121 </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​933,780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shd w:val="clear" w:color="auto" w:fill="CCEEFF"/>
          </w:tcPr>
          <w:p>
            <w:pPr>
              <w:spacing w:after="0"/>
              <w:rPr>
                <w:sz w:val="23"/>
                <w:szCs w:val="23"/>
                <w:color w:val="auto"/>
              </w:rPr>
            </w:pPr>
          </w:p>
        </w:tc>
        <w:tc>
          <w:tcPr>
            <w:tcW w:w="5860" w:type="dxa"/>
            <w:vAlign w:val="bottom"/>
            <w:gridSpan w:val="18"/>
            <w:vMerge w:val="continue"/>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5523230</wp:posOffset>
            </wp:positionH>
            <wp:positionV relativeFrom="paragraph">
              <wp:posOffset>-419100</wp:posOffset>
            </wp:positionV>
            <wp:extent cx="11112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-419100</wp:posOffset>
            </wp:positionV>
            <wp:extent cx="12001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-419100</wp:posOffset>
            </wp:positionV>
            <wp:extent cx="8572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3954780</wp:posOffset>
            </wp:positionH>
            <wp:positionV relativeFrom="paragraph">
              <wp:posOffset>-419100</wp:posOffset>
            </wp:positionV>
            <wp:extent cx="939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-419100</wp:posOffset>
            </wp:positionV>
            <wp:extent cx="7683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-419100</wp:posOffset>
            </wp:positionV>
            <wp:extent cx="218567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185670" cy="8255"/>
                    </a:xfrm>
                    <a:prstGeom prst="rect">
                      <a:avLst/>
                    </a:prstGeom>
                    <a:noFill/>
                  </pic:spPr>
                </pic:pic>
              </a:graphicData>
            </a:graphic>
          </wp:anchor>
        </w:drawing>
        <w:drawing>
          <wp:anchor simplePos="0" relativeHeight="251657728" behindDoc="1" locked="0" layoutInCell="0" allowOverlap="1">
            <wp:simplePos x="0" y="0"/>
            <wp:positionH relativeFrom="column">
              <wp:posOffset>5523230</wp:posOffset>
            </wp:positionH>
            <wp:positionV relativeFrom="paragraph">
              <wp:posOffset>-1182370</wp:posOffset>
            </wp:positionV>
            <wp:extent cx="11112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-1182370</wp:posOffset>
            </wp:positionV>
            <wp:extent cx="12001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-1182370</wp:posOffset>
            </wp:positionV>
            <wp:extent cx="8572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3954780</wp:posOffset>
            </wp:positionH>
            <wp:positionV relativeFrom="paragraph">
              <wp:posOffset>-1182370</wp:posOffset>
            </wp:positionV>
            <wp:extent cx="9398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-1182370</wp:posOffset>
            </wp:positionV>
            <wp:extent cx="7683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-1182370</wp:posOffset>
            </wp:positionV>
            <wp:extent cx="218567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185670" cy="8890"/>
                    </a:xfrm>
                    <a:prstGeom prst="rect">
                      <a:avLst/>
                    </a:prstGeom>
                    <a:noFill/>
                  </pic:spPr>
                </pic:pic>
              </a:graphicData>
            </a:graphic>
          </wp:anchor>
        </w:drawing>
        <w:drawing>
          <wp:anchor simplePos="0" relativeHeight="251657728" behindDoc="1" locked="0" layoutInCell="0" allowOverlap="1">
            <wp:simplePos x="0" y="0"/>
            <wp:positionH relativeFrom="column">
              <wp:posOffset>5523230</wp:posOffset>
            </wp:positionH>
            <wp:positionV relativeFrom="paragraph">
              <wp:posOffset>-2682240</wp:posOffset>
            </wp:positionV>
            <wp:extent cx="11112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-2682240</wp:posOffset>
            </wp:positionV>
            <wp:extent cx="12001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-2682240</wp:posOffset>
            </wp:positionV>
            <wp:extent cx="8572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3954780</wp:posOffset>
            </wp:positionH>
            <wp:positionV relativeFrom="paragraph">
              <wp:posOffset>-2682240</wp:posOffset>
            </wp:positionV>
            <wp:extent cx="9398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-2682240</wp:posOffset>
            </wp:positionV>
            <wp:extent cx="7683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-2682240</wp:posOffset>
            </wp:positionV>
            <wp:extent cx="218567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185670" cy="8890"/>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-3436620</wp:posOffset>
            </wp:positionV>
            <wp:extent cx="8572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-3436620</wp:posOffset>
            </wp:positionV>
            <wp:extent cx="8572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-3436620</wp:posOffset>
            </wp:positionV>
            <wp:extent cx="685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3954780</wp:posOffset>
            </wp:positionH>
            <wp:positionV relativeFrom="paragraph">
              <wp:posOffset>-3436620</wp:posOffset>
            </wp:positionV>
            <wp:extent cx="8572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-3436620</wp:posOffset>
            </wp:positionV>
            <wp:extent cx="6858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-3436620</wp:posOffset>
            </wp:positionV>
            <wp:extent cx="217741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97" w:lineRule="exact"/>
        <w:rPr>
          <w:sz w:val="20"/>
          <w:szCs w:val="20"/>
          <w:color w:val="auto"/>
        </w:rPr>
      </w:pPr>
    </w:p>
    <w:p>
      <w:pPr>
        <w:jc w:val="both"/>
        <w:ind w:left="1260" w:right="419"/>
        <w:spacing w:after="0" w:line="269" w:lineRule="auto"/>
        <w:rPr>
          <w:sz w:val="20"/>
          <w:szCs w:val="20"/>
          <w:color w:val="auto"/>
        </w:rPr>
      </w:pPr>
      <w:r>
        <w:rPr>
          <w:rFonts w:ascii="Times New Roman" w:cs="Times New Roman" w:eastAsia="Times New Roman" w:hAnsi="Times New Roman"/>
          <w:sz w:val="18"/>
          <w:szCs w:val="18"/>
          <w:color w:val="auto"/>
        </w:rPr>
        <w:t>Note *: In 2023, an aggregate of 1,046,761 Class A and 1,610,888 Class B ordinary shares beneficially owned by Junjie Zhang, Xianggui Peng and Peibang Gong, who are employees of the Company, were exchanged at a premium for Series B preferred shares. Junjie Zhang, Xianggui Peng and Peibang Gong are the ultimate controllers and beneficial owners of Partea Ltd., TasTea Ltd., and TEALATTE Ltd., which are the shareholders of Chagee Holdings Limited. Such Series B preferred shares were then sold to certain preferred shareholders and were recognized at fair value. For details, please refer to Note 18.</w:t>
      </w:r>
    </w:p>
    <w:p>
      <w:pPr>
        <w:spacing w:after="0" w:line="107" w:lineRule="exact"/>
        <w:rPr>
          <w:sz w:val="20"/>
          <w:szCs w:val="20"/>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Assuming a Qualified IPO is not consummated and no other contingent event occurs which could result in the request of redemption by the shareholders, the redemption amount is RMB1,158.0 million on December 28, 2027.</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 (LOSS)/INCOME PER SHARE</w:t>
      </w:r>
    </w:p>
    <w:p>
      <w:pPr>
        <w:spacing w:after="0" w:line="148"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Basic net (loss)/income per share is the amount of net (loss)/income available to each share of ordinary shares outstanding during the reporting period. Diluted net (loss)/income per share is the amount of net (loss)/income available to each share of ordinary shares outstanding during the reporting period adjusted to include the effect of potentially dilutive ordinary equivalent shares.</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0" w:name="page261"/>
    <w:bookmarkEnd w:id="2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 (LOSS)/INCOME PER SHARE (continued)</w:t>
      </w:r>
    </w:p>
    <w:p>
      <w:pPr>
        <w:spacing w:after="0" w:line="229"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As a result of the Restructuring the Company retrospectively adjusted the number of ordinary shares as if the Restructuring occurred at the beginning of the period presented, for details of Restructuring, please refer to Note 1(b).</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Basic and diluted (loss)/income per share for the periods presented are calculated as follows:</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00"/>
        </w:trPr>
        <w:tc>
          <w:tcPr>
            <w:tcW w:w="5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the Years Ended December 31,</w:t>
            </w:r>
          </w:p>
        </w:tc>
        <w:tc>
          <w:tcPr>
            <w:tcW w:w="22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3"/>
        </w:trPr>
        <w:tc>
          <w:tcPr>
            <w:tcW w:w="5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83"/>
        </w:trPr>
        <w:tc>
          <w:tcPr>
            <w:tcW w:w="5140" w:type="dxa"/>
            <w:vAlign w:val="bottom"/>
            <w:vMerge w:val="continue"/>
          </w:tcPr>
          <w:p>
            <w:pPr>
              <w:spacing w:after="0"/>
              <w:rPr>
                <w:sz w:val="15"/>
                <w:szCs w:val="15"/>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240" w:type="dxa"/>
            <w:vAlign w:val="bottom"/>
          </w:tcPr>
          <w:p>
            <w:pPr>
              <w:spacing w:after="0"/>
              <w:rPr>
                <w:sz w:val="15"/>
                <w:szCs w:val="15"/>
                <w:color w:val="auto"/>
              </w:rPr>
            </w:pP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24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(90,716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80" w:type="dxa"/>
            <w:vAlign w:val="bottom"/>
            <w:gridSpan w:val="3"/>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802,566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2,514,591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8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(1,663​​​)</w:t>
            </w: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Add: Net loss attributable to redeemable non-controlling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0"/>
                <w:szCs w:val="20"/>
                <w:color w:val="auto"/>
              </w:rPr>
            </w:pPr>
          </w:p>
        </w:tc>
        <w:tc>
          <w:tcPr>
            <w:tcW w:w="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80" w:type="dxa"/>
            <w:vAlign w:val="bottom"/>
            <w:gridSpan w:val="3"/>
          </w:tcPr>
          <w:p>
            <w:pPr>
              <w:jc w:val="right"/>
              <w:ind w:right="7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18,891​</w:t>
            </w:r>
          </w:p>
        </w:tc>
        <w:tc>
          <w:tcPr>
            <w:tcW w:w="0" w:type="dxa"/>
            <w:vAlign w:val="bottom"/>
          </w:tcPr>
          <w:p>
            <w:pPr>
              <w:spacing w:after="0"/>
              <w:rPr>
                <w:sz w:val="1"/>
                <w:szCs w:val="1"/>
                <w:color w:val="auto"/>
              </w:rPr>
            </w:pPr>
          </w:p>
        </w:tc>
      </w:tr>
      <w:tr>
        <w:trPr>
          <w:trHeight w:val="21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accretion to redemption value of convertible redeemable</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4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(30,201​​​)</w:t>
            </w:r>
            <w:r>
              <w:rPr>
                <w:rFonts w:ascii="Times New Roman" w:cs="Times New Roman" w:eastAsia="Times New Roman" w:hAnsi="Times New Roman"/>
                <w:sz w:val="18"/>
                <w:szCs w:val="18"/>
                <w:b w:val="1"/>
                <w:bCs w:val="1"/>
                <w:color w:val="auto"/>
              </w:rPr>
              <w:t>​</w:t>
            </w:r>
          </w:p>
        </w:tc>
        <w:tc>
          <w:tcPr>
            <w:tcW w:w="98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(43,330​​​)</w:t>
            </w: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Less: accretion to redemption value of redeemable non-controlling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0"/>
                <w:szCs w:val="20"/>
                <w:color w:val="auto"/>
              </w:rPr>
            </w:pPr>
          </w:p>
        </w:tc>
        <w:tc>
          <w:tcPr>
            <w:tcW w:w="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80" w:type="dxa"/>
            <w:vAlign w:val="bottom"/>
            <w:gridSpan w:val="3"/>
          </w:tcPr>
          <w:p>
            <w:pPr>
              <w:jc w:val="right"/>
              <w:ind w:right="7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(18,891​)</w:t>
            </w:r>
          </w:p>
        </w:tc>
        <w:tc>
          <w:tcPr>
            <w:tcW w:w="0" w:type="dxa"/>
            <w:vAlign w:val="bottom"/>
          </w:tcPr>
          <w:p>
            <w:pPr>
              <w:spacing w:after="0"/>
              <w:rPr>
                <w:sz w:val="1"/>
                <w:szCs w:val="1"/>
                <w:color w:val="auto"/>
              </w:rPr>
            </w:pPr>
          </w:p>
        </w:tc>
      </w:tr>
      <w:tr>
        <w:trPr>
          <w:trHeight w:val="21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cumulative undeclared dividends on convertible redeemable</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shares</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4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(24,400​​​)</w:t>
            </w:r>
            <w:r>
              <w:rPr>
                <w:rFonts w:ascii="Times New Roman" w:cs="Times New Roman" w:eastAsia="Times New Roman" w:hAnsi="Times New Roman"/>
                <w:sz w:val="18"/>
                <w:szCs w:val="18"/>
                <w:b w:val="1"/>
                <w:bCs w:val="1"/>
                <w:color w:val="auto"/>
              </w:rPr>
              <w:t>​</w:t>
            </w:r>
          </w:p>
        </w:tc>
        <w:tc>
          <w:tcPr>
            <w:tcW w:w="98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(32,081​​​)</w:t>
            </w: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preferred shareholders based 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their participating rights</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0"/>
                <w:szCs w:val="20"/>
                <w:color w:val="auto"/>
              </w:rPr>
            </w:pPr>
          </w:p>
        </w:tc>
        <w:tc>
          <w:tcPr>
            <w:tcW w:w="23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(198,548​​​)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(949,041​)</w:t>
            </w:r>
          </w:p>
        </w:tc>
        <w:tc>
          <w:tcPr>
            <w:tcW w:w="0" w:type="dxa"/>
            <w:vAlign w:val="bottom"/>
          </w:tcPr>
          <w:p>
            <w:pPr>
              <w:spacing w:after="0"/>
              <w:rPr>
                <w:sz w:val="1"/>
                <w:szCs w:val="1"/>
                <w:color w:val="auto"/>
              </w:rPr>
            </w:pPr>
          </w:p>
        </w:tc>
      </w:tr>
      <w:tr>
        <w:trPr>
          <w:trHeight w:val="20"/>
        </w:trPr>
        <w:tc>
          <w:tcPr>
            <w:tcW w:w="5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(loss)/earnings available for distribution – basic</w:t>
            </w: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4"/>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rPr>
              <w:t>(145,317) ​</w:t>
            </w:r>
          </w:p>
        </w:tc>
        <w:tc>
          <w:tcPr>
            <w:tcW w:w="74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w w:val="95"/>
              </w:rPr>
              <w:t>526,944</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7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1,435,150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7"/>
        </w:trPr>
        <w:tc>
          <w:tcPr>
            <w:tcW w:w="5140" w:type="dxa"/>
            <w:vAlign w:val="bottom"/>
            <w:shd w:val="clear" w:color="auto" w:fill="CCEEFF"/>
          </w:tcPr>
          <w:p>
            <w:pPr>
              <w:spacing w:after="0"/>
              <w:rPr>
                <w:sz w:val="4"/>
                <w:szCs w:val="4"/>
                <w:color w:val="auto"/>
              </w:rPr>
            </w:pPr>
          </w:p>
        </w:tc>
        <w:tc>
          <w:tcPr>
            <w:tcW w:w="260" w:type="dxa"/>
            <w:vAlign w:val="bottom"/>
            <w:gridSpan w:val="2"/>
            <w:shd w:val="clear" w:color="auto" w:fill="CCEEFF"/>
          </w:tcPr>
          <w:p>
            <w:pPr>
              <w:ind w:left="20"/>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5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80" w:type="dxa"/>
            <w:vAlign w:val="bottom"/>
            <w:gridSpan w:val="2"/>
            <w:shd w:val="clear" w:color="auto" w:fill="CCEEFF"/>
          </w:tcPr>
          <w:p>
            <w:pPr>
              <w:jc w:val="right"/>
              <w:ind w:right="30"/>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740" w:type="dxa"/>
            <w:vAlign w:val="bottom"/>
            <w:shd w:val="clear" w:color="auto" w:fill="CCEEFF"/>
          </w:tcPr>
          <w:p>
            <w:pPr>
              <w:spacing w:after="0"/>
              <w:rPr>
                <w:sz w:val="4"/>
                <w:szCs w:val="4"/>
                <w:color w:val="auto"/>
              </w:rPr>
            </w:pPr>
          </w:p>
        </w:tc>
        <w:tc>
          <w:tcPr>
            <w:tcW w:w="240" w:type="dxa"/>
            <w:vAlign w:val="bottom"/>
            <w:gridSpan w:val="2"/>
            <w:shd w:val="clear" w:color="auto" w:fill="CCEEFF"/>
          </w:tcPr>
          <w:p>
            <w:pPr>
              <w:jc w:val="right"/>
              <w:ind w:right="7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5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Reversal of accretion on redemption value of Series A and Series B</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redeemable preferred shares</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0"/>
                <w:szCs w:val="20"/>
                <w:color w:val="auto"/>
              </w:rPr>
            </w:pPr>
          </w:p>
        </w:tc>
        <w:tc>
          <w:tcPr>
            <w:tcW w:w="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80" w:type="dxa"/>
            <w:vAlign w:val="bottom"/>
            <w:gridSpan w:val="3"/>
          </w:tcPr>
          <w:p>
            <w:pPr>
              <w:jc w:val="right"/>
              <w:ind w:right="74"/>
              <w:spacing w:after="0"/>
              <w:rPr>
                <w:sz w:val="20"/>
                <w:szCs w:val="20"/>
                <w:color w:val="auto"/>
              </w:rPr>
            </w:pPr>
            <w:r>
              <w:rPr>
                <w:rFonts w:ascii="Times New Roman" w:cs="Times New Roman" w:eastAsia="Times New Roman" w:hAnsi="Times New Roman"/>
                <w:sz w:val="18"/>
                <w:szCs w:val="18"/>
                <w:color w:val="auto"/>
              </w:rPr>
              <w:t>34,484​​​</w:t>
            </w: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and reallocation of net income attributable to preferred</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98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199,331​​​</w:t>
            </w: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(loss)/earnings available for distribution – diluted</w:t>
            </w:r>
          </w:p>
        </w:tc>
        <w:tc>
          <w:tcPr>
            <w:tcW w:w="12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4"/>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rPr>
              <w:t>(145,317) ​</w:t>
            </w:r>
          </w:p>
        </w:tc>
        <w:tc>
          <w:tcPr>
            <w:tcW w:w="7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w w:val="95"/>
              </w:rPr>
              <w:t>760,759</w:t>
            </w:r>
          </w:p>
        </w:tc>
        <w:tc>
          <w:tcPr>
            <w:tcW w:w="140" w:type="dxa"/>
            <w:vAlign w:val="bottom"/>
          </w:tcPr>
          <w:p>
            <w:pPr>
              <w:spacing w:after="0"/>
              <w:rPr>
                <w:sz w:val="17"/>
                <w:szCs w:val="17"/>
                <w:color w:val="auto"/>
              </w:rPr>
            </w:pPr>
          </w:p>
        </w:tc>
        <w:tc>
          <w:tcPr>
            <w:tcW w:w="100" w:type="dxa"/>
            <w:vAlign w:val="bottom"/>
          </w:tcPr>
          <w:p>
            <w:pPr>
              <w:jc w:val="right"/>
              <w:ind w:right="7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7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1,435,150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60" w:type="dxa"/>
            <w:vAlign w:val="bottom"/>
            <w:gridSpan w:val="2"/>
          </w:tcPr>
          <w:p>
            <w:pPr>
              <w:ind w:left="20"/>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gridSpan w:val="2"/>
          </w:tcPr>
          <w:p>
            <w:pPr>
              <w:jc w:val="right"/>
              <w:ind w:right="30"/>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740" w:type="dxa"/>
            <w:vAlign w:val="bottom"/>
          </w:tcPr>
          <w:p>
            <w:pPr>
              <w:spacing w:after="0"/>
              <w:rPr>
                <w:sz w:val="2"/>
                <w:szCs w:val="2"/>
                <w:color w:val="auto"/>
              </w:rPr>
            </w:pPr>
          </w:p>
        </w:tc>
        <w:tc>
          <w:tcPr>
            <w:tcW w:w="240" w:type="dxa"/>
            <w:vAlign w:val="bottom"/>
            <w:gridSpan w:val="2"/>
          </w:tcPr>
          <w:p>
            <w:pPr>
              <w:jc w:val="right"/>
              <w:ind w:right="7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Borders>
              <w:right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30"/>
              <w:spacing w:after="0" w:line="183" w:lineRule="exact"/>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 used 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calculating basic (loss)/income per share</w:t>
            </w:r>
          </w:p>
        </w:tc>
        <w:tc>
          <w:tcPr>
            <w:tcW w:w="312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100,000,002​​​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104,465,049​​​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100,628,189​</w:t>
            </w:r>
          </w:p>
        </w:tc>
        <w:tc>
          <w:tcPr>
            <w:tcW w:w="0" w:type="dxa"/>
            <w:vAlign w:val="bottom"/>
          </w:tcPr>
          <w:p>
            <w:pPr>
              <w:spacing w:after="0"/>
              <w:rPr>
                <w:sz w:val="1"/>
                <w:szCs w:val="1"/>
                <w:color w:val="auto"/>
              </w:rPr>
            </w:pPr>
          </w:p>
        </w:tc>
      </w:tr>
      <w:tr>
        <w:trPr>
          <w:trHeight w:val="21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dilutive securities − convertible redeemable preferred</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20"/>
                <w:szCs w:val="20"/>
                <w:color w:val="auto"/>
              </w:rPr>
            </w:pPr>
          </w:p>
        </w:tc>
        <w:tc>
          <w:tcPr>
            <w:tcW w:w="1500" w:type="dxa"/>
            <w:vAlign w:val="bottom"/>
            <w:gridSpan w:val="6"/>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48,266,743​​​</w:t>
            </w: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5360670</wp:posOffset>
            </wp:positionH>
            <wp:positionV relativeFrom="paragraph">
              <wp:posOffset>-1628140</wp:posOffset>
            </wp:positionV>
            <wp:extent cx="7747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-1628140</wp:posOffset>
            </wp:positionV>
            <wp:extent cx="398589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Weighted average number of Ordinary Shares outstanding − diluted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100,000,002​​​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152,731,792​​​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100,628,189​</w:t>
      </w:r>
    </w:p>
    <w:p>
      <w:pPr>
        <w:spacing w:after="0" w:line="32"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(loss)/income per share</w:t>
            </w:r>
          </w:p>
        </w:tc>
        <w:tc>
          <w:tcPr>
            <w:tcW w:w="17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(1.45​​​)</w:t>
            </w: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5.04​​​</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3"/>
              </w:rPr>
              <w:t>14.26​</w:t>
            </w:r>
          </w:p>
        </w:tc>
        <w:tc>
          <w:tcPr>
            <w:tcW w:w="60" w:type="dxa"/>
            <w:vAlign w:val="bottom"/>
          </w:tcPr>
          <w:p>
            <w:pPr>
              <w:spacing w:after="0"/>
              <w:rPr>
                <w:sz w:val="18"/>
                <w:szCs w:val="18"/>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Dilutive (loss)/income per share</w:t>
            </w:r>
          </w:p>
        </w:tc>
        <w:tc>
          <w:tcPr>
            <w:tcW w:w="17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(1.45​​​)</w:t>
            </w:r>
            <w:r>
              <w:rPr>
                <w:rFonts w:ascii="Times New Roman" w:cs="Times New Roman" w:eastAsia="Times New Roman" w:hAnsi="Times New Roman"/>
                <w:sz w:val="18"/>
                <w:szCs w:val="18"/>
                <w:b w:val="1"/>
                <w:bCs w:val="1"/>
                <w:color w:val="auto"/>
              </w:rPr>
              <w:t>​</w:t>
            </w: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4.98​​​</w:t>
            </w:r>
            <w:r>
              <w:rPr>
                <w:rFonts w:ascii="Times New Roman" w:cs="Times New Roman" w:eastAsia="Times New Roman" w:hAnsi="Times New Roman"/>
                <w:sz w:val="18"/>
                <w:szCs w:val="18"/>
                <w:b w:val="1"/>
                <w:bCs w:val="1"/>
                <w:color w:val="auto"/>
              </w:rPr>
              <w:t>​</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14.26​</w:t>
            </w:r>
          </w:p>
        </w:tc>
      </w:tr>
    </w:tbl>
    <w:p>
      <w:pPr>
        <w:spacing w:after="0" w:line="103"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For the year ended December 31, 2022, the Company had potential ordinary shares, including preferred shares and share options. On a weighted average basis, 47,089,783 preferred shares, and 8,182,334 share options were excluded from the computation of diluted net loss per ordinary share because including them would have had an anti-dilutive effect for the year ended December 31, 2022 as that year was in a loss position.</w:t>
      </w:r>
    </w:p>
    <w:p>
      <w:pPr>
        <w:spacing w:after="0" w:line="335"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and 2024, the Company had potential ordinary shares, including preferred shares and share options. On a weighted average basis, 6,283,388 and 70,122,009 preferred shares were excluded from the computation of diluted earning per ordinary share because including them would have had an anti-dilutive effect; and 10,632,274 and 14,088,184 share options were excluded from the calculation of diluted income per ordinary share as their vesting is contingent upon the satisfaction of a performance condition (i.e. completion of a Qualified IPO), which is not considered probable until the event occurs.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1" w:name="page262"/>
    <w:bookmarkEnd w:id="2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21. FAIR VALUE MEASUREMENT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 Assets and liabilities measured at fair value on a recurring basis</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16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short-term investments are comprised of investments in wealth management products issued by financial institutions. The Group estimates the fair value of investments in short-term investments using alternative pricing sources and models utilizing market observable inputs, and accordingly the Group classifies the valuation techniques that use these inputs as Level 2. The short-term investments usually have short original maturities of less than 1 year, the carrying value approximates to fair value.</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Other financial instruments</w:t>
      </w:r>
    </w:p>
    <w:p>
      <w:pPr>
        <w:spacing w:after="0" w:line="160"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Other financial assets and liabilities of the Group primarily consist of cash and cash equivalents, restricted cash, time deposits, accounts receivable, other receivables, amounts due from related parties, certain other current assets and certain accruals and other liabilities. As of December 31, 2023 and 2024, the carrying values of these financial assets are approximated to the fair values due to their short-term maturity. They are not measured at fair value in the consolidated balance sheets, but the fair value is estimated for disclosure purposes.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 Assets and liabilities measured at fair value on a non-recurring basis</w:t>
      </w:r>
    </w:p>
    <w:p>
      <w:pPr>
        <w:spacing w:after="0" w:line="148"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The Group’s long-term equity investments are measured at fair value on a non-recurring basis under measurement alternative, if an impairment loss is charged or fair value adjustment is made for an observable price in an orderly transaction for identical or similar investments of the same issuer. The related inputs used are classified as Level 3 fair value measurement. Please refer to Note 2(g) for more details of valuation techniques.</w:t>
      </w:r>
    </w:p>
    <w:p>
      <w:pPr>
        <w:spacing w:after="0" w:line="335"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Group’s non-financial assets, such as property and equipment and right-of-use assets, would be measured at fair value on a non-recurring basis only if they were determined to be impaired. For the years ended December 31, 2022, 2023 and 2024, the Group recognized nil of impairment loss for the assets above based on management’s assessment.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22. COMMITMENTS AND CONTINGENCIES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Commitment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  Operating lease commitments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Future minimum lease payments for operating lease as of December 31, 2024 are disclosed in Note 13.</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  Other commitments</w:t>
      </w:r>
    </w:p>
    <w:p>
      <w:pPr>
        <w:spacing w:after="0" w:line="148"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Group leases office space under non-cancelable operating lease agreements, which expire at various dates through to February 2030. Future minimum payments under non-cancelable agreements for property management fees consist of the following as of December 31, 2024:</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 ​</w:t>
            </w:r>
          </w:p>
        </w:tc>
        <w:tc>
          <w:tcPr>
            <w:tcW w:w="3080" w:type="dxa"/>
            <w:vAlign w:val="bottom"/>
            <w:gridSpan w:val="1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Payment due by schedule as of December 31, 2024 </w:t>
            </w:r>
            <w:r>
              <w:rPr>
                <w:rFonts w:ascii="Times New Roman" w:cs="Times New Roman" w:eastAsia="Times New Roman" w:hAnsi="Times New Roman"/>
                <w:sz w:val="28"/>
                <w:szCs w:val="28"/>
                <w:b w:val="1"/>
                <w:bCs w:val="1"/>
                <w:color w:val="auto"/>
                <w:w w:val="99"/>
                <w:vertAlign w:val="subscript"/>
              </w:rPr>
              <w:t>​</w:t>
            </w:r>
          </w:p>
        </w:tc>
      </w:tr>
      <w:tr>
        <w:trPr>
          <w:trHeight w:val="171"/>
        </w:trPr>
        <w:tc>
          <w:tcPr>
            <w:tcW w:w="3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1 – 5</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100" w:type="dxa"/>
            <w:vAlign w:val="bottom"/>
            <w:tcBorders>
              <w:bottom w:val="single" w:sz="8" w:color="auto"/>
            </w:tcBorders>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 w:type="dxa"/>
            <w:vAlign w:val="bottom"/>
            <w:tcBorders>
              <w:bottom w:val="single" w:sz="8" w:color="auto"/>
            </w:tcBorders>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spacing w:after="0"/>
              <w:rPr>
                <w:sz w:val="20"/>
                <w:szCs w:val="20"/>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1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20"/>
                <w:szCs w:val="20"/>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20"/>
                <w:szCs w:val="20"/>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9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management commitments</w:t>
            </w:r>
          </w:p>
        </w:tc>
        <w:tc>
          <w:tcPr>
            <w:tcW w:w="13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shd w:val="clear" w:color="auto" w:fill="CCEEFF"/>
          </w:tcPr>
          <w:p>
            <w:pPr>
              <w:jc w:val="center"/>
              <w:ind w:left="26"/>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​23,382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​40,340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​63,722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2" w:name="page263"/>
    <w:bookmarkEnd w:id="2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CHAGEE HOLDINGS LIMITED</w:t>
      </w:r>
    </w:p>
    <w:p>
      <w:pPr>
        <w:spacing w:after="0" w:line="1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(All amounts in thousands, except for share, per share data)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22. COMMITMENTS AND CONTINGENCIES (continued)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As of December 31, 2024, the Group was not involved in any legal or administrative proceedings that may have a material adverse impact on the Group’s business, financial position results of operations, or cash flows.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23. RESTRICTED NET ASSETS</w:t>
      </w:r>
    </w:p>
    <w:p>
      <w:pPr>
        <w:spacing w:after="0" w:line="162"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Relevant PRC laws and regulations permit the PRC companies to pay dividends only out of their retained earnings, if any, as determined in accordance with PRC accounting standards and regulations. Additionally, the Company’s PRC subsidiaries can only distribute dividends upon approval of the shareholders after they have met the PRC requirements for appropriation to the generically reserve fund and the statutory surplus fund respectively. The general reserve fund and the statutory surplus fund require that annual appropriations of 10% of net after-tax income should be set aside prior to payment of any dividends. As a result of these and other restrictions under PRC laws and regulations, the PRC subsidiaries are restricted in their ability to transfer a portion of their net assets to the Company either in the form of dividends, loans, or advances, which restricted portion amounted to RMB118.1 million or 4.5% of the Company’s total consolidated net assets as of December 31, 2024. Furthermore, cash transfers from the Company’s PRC subsidiaries to their parent companies outside of China are subject to PRC government control of currency conversion. Shortages in the availability of foreign currency may restrict the ability of the PRC subsidiaries to remit sufficient foreign currency to pay dividends or other payments to the Company, or otherwise satisfy their foreign currency denominated obligations. Even though the Company currently does not require any such dividends, loans or advances from the PRC subsidiaries for working capital and other funding purposes, the Company may in the future require additional cash resources from its PRC subsidiaries due to changes in business conditions, to fund future acquisitions and developments, or merely declare and pay dividends to or distributions to the Company’s shareholders. Except for the above, there is no other restriction on the use of proceeds generated by the Company’s subsidiaries to satisfy any obligations of the Company.</w:t>
      </w:r>
    </w:p>
    <w:p>
      <w:pPr>
        <w:spacing w:after="0" w:line="326"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Company performed a test on the restricted net assets of its consolidated subsidiaries (the “restricted net assets”) in accordance with Securities and Exchange Commission Regulation S-X Rule 4-08(e) (3), “General Notes to Financial Statements” and concluded that it was not applicable for the Company to disclose the condensed financial information of the Company for the year ended December 31, 2023 and 2024 because the PRC subsidiaries’ restricted net assets amounted to RMB59.4 million or 4.6% and RMB118.1 million or 4.5% of the Company’s total consolidated net assets as of December 31, 2023 and 2024. Based on the test on the restricted net assets, the Company concluded that it was not applicable for the Company to disclose the condensed financial information of the Company for the year ended December 31, 2022 because (i) the Company had not been incorporated as of December 31, 2022 and (ii) the Restructuring of the Group was yet to complete so the Company was not yet the parent company of the subsidiaries in China as of December 31, 2022.</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24. SUBSEQUENT EVENTS</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Group has evaluated subsequent events through March 11, 2025 which is the date the consolidated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B0FD379"/>
    <w:multiLevelType w:val="hybridMultilevel"/>
    <w:lvl w:ilvl="0">
      <w:lvlJc w:val="left"/>
      <w:lvlText w:val="(%1)"/>
      <w:numFmt w:val="decimal"/>
      <w:start w:val="1"/>
    </w:lvl>
  </w:abstractNum>
  <w:abstractNum w:abstractNumId="1">
    <w:nsid w:val="68EB2F63"/>
    <w:multiLevelType w:val="hybridMultilevel"/>
    <w:lvl w:ilvl="0">
      <w:lvlJc w:val="left"/>
      <w:lvlText w:val="•"/>
      <w:numFmt w:val="bullet"/>
      <w:start w:val="1"/>
    </w:lvl>
  </w:abstractNum>
  <w:abstractNum w:abstractNumId="2">
    <w:nsid w:val="4962813B"/>
    <w:multiLevelType w:val="hybridMultilevel"/>
    <w:lvl w:ilvl="0">
      <w:lvlJc w:val="left"/>
      <w:lvlText w:val="(%1)"/>
      <w:numFmt w:val="decimal"/>
      <w:start w:val="1"/>
    </w:lvl>
  </w:abstractNum>
  <w:abstractNum w:abstractNumId="3">
    <w:nsid w:val="60B6DF70"/>
    <w:multiLevelType w:val="hybridMultilevel"/>
    <w:lvl w:ilvl="0">
      <w:lvlJc w:val="left"/>
      <w:lvlText w:val="•"/>
      <w:numFmt w:val="bullet"/>
      <w:start w:val="1"/>
    </w:lvl>
  </w:abstractNum>
  <w:abstractNum w:abstractNumId="4">
    <w:nsid w:val="6A5EE64"/>
    <w:multiLevelType w:val="hybridMultilevel"/>
    <w:lvl w:ilvl="0">
      <w:lvlJc w:val="left"/>
      <w:lvlText w:val="(%1)"/>
      <w:numFmt w:val="lowerRoman"/>
      <w:start w:val="3"/>
    </w:lvl>
  </w:abstractNum>
  <w:abstractNum w:abstractNumId="5">
    <w:nsid w:val="14330624"/>
    <w:multiLevelType w:val="hybridMultilevel"/>
    <w:lvl w:ilvl="0">
      <w:lvlJc w:val="left"/>
      <w:lvlText w:val="*"/>
      <w:numFmt w:val="bullet"/>
      <w:start w:val="1"/>
    </w:lvl>
  </w:abstractNum>
  <w:abstractNum w:abstractNumId="6">
    <w:nsid w:val="7FFFCA11"/>
    <w:multiLevelType w:val="hybridMultilevel"/>
    <w:lvl w:ilvl="0">
      <w:lvlJc w:val="left"/>
      <w:lvlText w:val="**"/>
      <w:numFmt w:val="bullet"/>
      <w:start w:val="1"/>
    </w:lvl>
  </w:abstractNum>
  <w:abstractNum w:abstractNumId="7">
    <w:nsid w:val="1A27709E"/>
    <w:multiLevelType w:val="hybridMultilevel"/>
    <w:lvl w:ilvl="0">
      <w:lvlJc w:val="left"/>
      <w:lvlText w:val="•"/>
      <w:numFmt w:val="bullet"/>
      <w:start w:val="1"/>
    </w:lvl>
  </w:abstractNum>
  <w:abstractNum w:abstractNumId="8">
    <w:nsid w:val="71EA1109"/>
    <w:multiLevelType w:val="hybridMultilevel"/>
    <w:lvl w:ilvl="0">
      <w:lvlJc w:val="left"/>
      <w:lvlText w:val="•"/>
      <w:numFmt w:val="bullet"/>
      <w:start w:val="1"/>
    </w:lvl>
  </w:abstractNum>
  <w:abstractNum w:abstractNumId="9">
    <w:nsid w:val="100F59DC"/>
    <w:multiLevelType w:val="hybridMultilevel"/>
    <w:lvl w:ilvl="0">
      <w:lvlJc w:val="left"/>
      <w:lvlText w:val="•"/>
      <w:numFmt w:val="bullet"/>
      <w:start w:val="1"/>
    </w:lvl>
  </w:abstractNum>
  <w:abstractNum w:abstractNumId="10">
    <w:nsid w:val="7FB7E0AA"/>
    <w:multiLevelType w:val="hybridMultilevel"/>
    <w:lvl w:ilvl="0">
      <w:lvlJc w:val="left"/>
      <w:lvlText w:val="•"/>
      <w:numFmt w:val="bullet"/>
      <w:start w:val="1"/>
    </w:lvl>
  </w:abstractNum>
  <w:abstractNum w:abstractNumId="11">
    <w:nsid w:val="6EB5BD4"/>
    <w:multiLevelType w:val="hybridMultilevel"/>
    <w:lvl w:ilvl="0">
      <w:lvlJc w:val="left"/>
      <w:lvlText w:val="•"/>
      <w:numFmt w:val="bullet"/>
      <w:start w:val="1"/>
    </w:lvl>
  </w:abstractNum>
  <w:abstractNum w:abstractNumId="12">
    <w:nsid w:val="6F6DD9AC"/>
    <w:multiLevelType w:val="hybridMultilevel"/>
    <w:lvl w:ilvl="0">
      <w:lvlJc w:val="left"/>
      <w:lvlText w:val="(%1)"/>
      <w:numFmt w:val="lowerLetter"/>
      <w:start w:val="3"/>
    </w:lvl>
  </w:abstractNum>
  <w:abstractNum w:abstractNumId="13">
    <w:nsid w:val="94211F2"/>
    <w:multiLevelType w:val="hybridMultilevel"/>
    <w:lvl w:ilvl="0">
      <w:lvlJc w:val="left"/>
      <w:lvlText w:val="(%1)"/>
      <w:numFmt w:val="lowerLetter"/>
      <w:start w:val="2"/>
    </w:lvl>
  </w:abstractNum>
  <w:abstractNum w:abstractNumId="14">
    <w:nsid w:val="885E1B"/>
    <w:multiLevelType w:val="hybridMultilevel"/>
    <w:lvl w:ilvl="0">
      <w:lvlJc w:val="left"/>
      <w:lvlText w:val="(%1)"/>
      <w:numFmt w:val="lowerRoman"/>
      <w:start w:val="4"/>
    </w:lvl>
  </w:abstractNum>
  <w:abstractNum w:abstractNumId="15">
    <w:nsid w:val="76272110"/>
    <w:multiLevelType w:val="hybridMultilevel"/>
    <w:lvl w:ilvl="0">
      <w:lvlJc w:val="left"/>
      <w:lvlText w:val="\emdash "/>
      <w:numFmt w:val="bullet"/>
      <w:start w:val="1"/>
    </w:lvl>
  </w:abstractNum>
  <w:abstractNum w:abstractNumId="16">
    <w:nsid w:val="4C04A8AF"/>
    <w:multiLevelType w:val="hybridMultilevel"/>
    <w:lvl w:ilvl="0">
      <w:lvlJc w:val="left"/>
      <w:lvlText w:val="•"/>
      <w:numFmt w:val="bullet"/>
      <w:start w:val="1"/>
    </w:lvl>
  </w:abstractNum>
  <w:abstractNum w:abstractNumId="17">
    <w:nsid w:val="1716703B"/>
    <w:multiLevelType w:val="hybridMultilevel"/>
    <w:lvl w:ilvl="0">
      <w:lvlJc w:val="left"/>
      <w:lvlText w:val="•"/>
      <w:numFmt w:val="bullet"/>
      <w:start w:val="1"/>
    </w:lvl>
    <w:lvl w:ilvl="1">
      <w:lvlJc w:val="left"/>
      <w:lvlText w:val="•"/>
      <w:numFmt w:val="bullet"/>
      <w:start w:val="1"/>
    </w:lvl>
    <w:lvl w:ilvl="2">
      <w:lvlJc w:val="left"/>
      <w:lvlText w:val="(%3)"/>
      <w:numFmt w:val="lowerRoman"/>
      <w:start w:val="1"/>
    </w:lvl>
  </w:abstractNum>
  <w:abstractNum w:abstractNumId="18">
    <w:nsid w:val="14E17E33"/>
    <w:multiLevelType w:val="hybridMultilevel"/>
    <w:lvl w:ilvl="0">
      <w:lvlJc w:val="left"/>
      <w:lvlText w:val="•"/>
      <w:numFmt w:val="bullet"/>
      <w:start w:val="1"/>
    </w:lvl>
  </w:abstractNum>
  <w:abstractNum w:abstractNumId="19">
    <w:nsid w:val="3222E7CD"/>
    <w:multiLevelType w:val="hybridMultilevel"/>
    <w:lvl w:ilvl="0">
      <w:lvlJc w:val="left"/>
      <w:lvlText w:val="•"/>
      <w:numFmt w:val="bullet"/>
      <w:start w:val="1"/>
    </w:lvl>
  </w:abstractNum>
  <w:abstractNum w:abstractNumId="20">
    <w:nsid w:val="74DE0EE3"/>
    <w:multiLevelType w:val="hybridMultilevel"/>
    <w:lvl w:ilvl="0">
      <w:lvlJc w:val="left"/>
      <w:lvlText w:val="•"/>
      <w:numFmt w:val="bullet"/>
      <w:start w:val="1"/>
    </w:lvl>
  </w:abstractNum>
  <w:abstractNum w:abstractNumId="21">
    <w:nsid w:val="68EBC550"/>
    <w:multiLevelType w:val="hybridMultilevel"/>
    <w:lvl w:ilvl="0">
      <w:lvlJc w:val="left"/>
      <w:lvlText w:val="​"/>
      <w:numFmt w:val="bullet"/>
      <w:start w:val="1"/>
    </w:lvl>
  </w:abstractNum>
  <w:abstractNum w:abstractNumId="22">
    <w:nsid w:val="2DF6D648"/>
    <w:multiLevelType w:val="hybridMultilevel"/>
    <w:lvl w:ilvl="0">
      <w:lvlJc w:val="left"/>
      <w:lvlText w:val="(%1)"/>
      <w:numFmt w:val="decimal"/>
      <w:start w:val="1"/>
    </w:lvl>
  </w:abstractNum>
  <w:abstractNum w:abstractNumId="23">
    <w:nsid w:val="46B7D447"/>
    <w:multiLevelType w:val="hybridMultilevel"/>
    <w:lvl w:ilvl="0">
      <w:lvlJc w:val="left"/>
      <w:lvlText w:val="•"/>
      <w:numFmt w:val="bullet"/>
      <w:start w:val="1"/>
    </w:lvl>
  </w:abstractNum>
  <w:abstractNum w:abstractNumId="24">
    <w:nsid w:val="4A2AC315"/>
    <w:multiLevelType w:val="hybridMultilevel"/>
    <w:lvl w:ilvl="0">
      <w:lvlJc w:val="left"/>
      <w:lvlText w:val="•"/>
      <w:numFmt w:val="bullet"/>
      <w:start w:val="1"/>
    </w:lvl>
  </w:abstractNum>
  <w:abstractNum w:abstractNumId="25">
    <w:nsid w:val="39EE015C"/>
    <w:multiLevelType w:val="hybridMultilevel"/>
    <w:lvl w:ilvl="0">
      <w:lvlJc w:val="left"/>
      <w:lvlText w:val="•"/>
      <w:numFmt w:val="bullet"/>
      <w:start w:val="1"/>
    </w:lvl>
  </w:abstractNum>
  <w:abstractNum w:abstractNumId="26">
    <w:nsid w:val="57FC4FBB"/>
    <w:multiLevelType w:val="hybridMultilevel"/>
    <w:lvl w:ilvl="0">
      <w:lvlJc w:val="left"/>
      <w:lvlText w:val="•"/>
      <w:numFmt w:val="bullet"/>
      <w:start w:val="1"/>
    </w:lvl>
  </w:abstractNum>
  <w:abstractNum w:abstractNumId="27">
    <w:nsid w:val="CC1016F"/>
    <w:multiLevelType w:val="hybridMultilevel"/>
    <w:lvl w:ilvl="0">
      <w:lvlJc w:val="left"/>
      <w:lvlText w:val="•"/>
      <w:numFmt w:val="bullet"/>
      <w:start w:val="1"/>
    </w:lvl>
  </w:abstractNum>
  <w:abstractNum w:abstractNumId="28">
    <w:nsid w:val="43F18422"/>
    <w:multiLevelType w:val="hybridMultilevel"/>
    <w:lvl w:ilvl="0">
      <w:lvlJc w:val="left"/>
      <w:lvlText w:val="•"/>
      <w:numFmt w:val="bullet"/>
      <w:start w:val="1"/>
    </w:lvl>
  </w:abstractNum>
  <w:abstractNum w:abstractNumId="29">
    <w:nsid w:val="60EF0119"/>
    <w:multiLevelType w:val="hybridMultilevel"/>
    <w:lvl w:ilvl="0">
      <w:lvlJc w:val="left"/>
      <w:lvlText w:val="•"/>
      <w:numFmt w:val="bullet"/>
      <w:start w:val="1"/>
    </w:lvl>
  </w:abstractNum>
  <w:abstractNum w:abstractNumId="30">
    <w:nsid w:val="26F324BA"/>
    <w:multiLevelType w:val="hybridMultilevel"/>
    <w:lvl w:ilvl="0">
      <w:lvlJc w:val="left"/>
      <w:lvlText w:val="•"/>
      <w:numFmt w:val="bullet"/>
      <w:start w:val="1"/>
    </w:lvl>
  </w:abstractNum>
  <w:abstractNum w:abstractNumId="31">
    <w:nsid w:val="7F01579B"/>
    <w:multiLevelType w:val="hybridMultilevel"/>
    <w:lvl w:ilvl="0">
      <w:lvlJc w:val="left"/>
      <w:lvlText w:val="•"/>
      <w:numFmt w:val="bullet"/>
      <w:start w:val="1"/>
    </w:lvl>
  </w:abstractNum>
  <w:abstractNum w:abstractNumId="32">
    <w:nsid w:val="49DA307D"/>
    <w:multiLevelType w:val="hybridMultilevel"/>
    <w:lvl w:ilvl="0">
      <w:lvlJc w:val="left"/>
      <w:lvlText w:val="•"/>
      <w:numFmt w:val="bullet"/>
      <w:start w:val="1"/>
    </w:lvl>
  </w:abstractNum>
  <w:abstractNum w:abstractNumId="33">
    <w:nsid w:val="7055A5F5"/>
    <w:multiLevelType w:val="hybridMultilevel"/>
    <w:lvl w:ilvl="0">
      <w:lvlJc w:val="left"/>
      <w:lvlText w:val="•"/>
      <w:numFmt w:val="bullet"/>
      <w:start w:val="1"/>
    </w:lvl>
  </w:abstractNum>
  <w:abstractNum w:abstractNumId="34">
    <w:nsid w:val="5FB8370B"/>
    <w:multiLevelType w:val="hybridMultilevel"/>
    <w:lvl w:ilvl="0">
      <w:lvlJc w:val="left"/>
      <w:lvlText w:val="(%1)"/>
      <w:numFmt w:val="lowerLetter"/>
      <w:start w:val="3"/>
    </w:lvl>
  </w:abstractNum>
  <w:abstractNum w:abstractNumId="35">
    <w:nsid w:val="50801EE1"/>
    <w:multiLevelType w:val="hybridMultilevel"/>
    <w:lvl w:ilvl="0">
      <w:lvlJc w:val="left"/>
      <w:lvlText w:val="(%1)"/>
      <w:numFmt w:val="lowerLetter"/>
      <w:start w:val="2"/>
    </w:lvl>
  </w:abstractNum>
  <w:abstractNum w:abstractNumId="36">
    <w:nsid w:val="488AC1A"/>
    <w:multiLevelType w:val="hybridMultilevel"/>
    <w:lvl w:ilvl="0">
      <w:lvlJc w:val="left"/>
      <w:lvlText w:val="•"/>
      <w:numFmt w:val="bullet"/>
      <w:start w:val="1"/>
    </w:lvl>
  </w:abstractNum>
  <w:abstractNum w:abstractNumId="37">
    <w:nsid w:val="5FB8011C"/>
    <w:multiLevelType w:val="hybridMultilevel"/>
    <w:lvl w:ilvl="0">
      <w:lvlJc w:val="left"/>
      <w:lvlText w:val="•"/>
      <w:numFmt w:val="bullet"/>
      <w:start w:val="1"/>
    </w:lvl>
  </w:abstractNum>
  <w:abstractNum w:abstractNumId="38">
    <w:nsid w:val="6AA78F7F"/>
    <w:multiLevelType w:val="hybridMultilevel"/>
    <w:lvl w:ilvl="0">
      <w:lvlJc w:val="left"/>
      <w:lvlText w:val="(%1)"/>
      <w:numFmt w:val="lowerRoman"/>
      <w:start w:val="3"/>
    </w:lvl>
  </w:abstractNum>
  <w:abstractNum w:abstractNumId="39">
    <w:nsid w:val="7672BD23"/>
    <w:multiLevelType w:val="hybridMultilevel"/>
    <w:lvl w:ilvl="0">
      <w:lvlJc w:val="left"/>
      <w:lvlText w:val="•"/>
      <w:numFmt w:val="bullet"/>
      <w:start w:val="1"/>
    </w:lvl>
  </w:abstractNum>
  <w:abstractNum w:abstractNumId="40">
    <w:nsid w:val="6FC75AF8"/>
    <w:multiLevelType w:val="hybridMultilevel"/>
    <w:lvl w:ilvl="0">
      <w:lvlJc w:val="left"/>
      <w:lvlText w:val="•"/>
      <w:numFmt w:val="bullet"/>
      <w:start w:val="1"/>
    </w:lvl>
  </w:abstractNum>
  <w:abstractNum w:abstractNumId="41">
    <w:nsid w:val="6A5F7029"/>
    <w:multiLevelType w:val="hybridMultilevel"/>
    <w:lvl w:ilvl="0">
      <w:lvlJc w:val="left"/>
      <w:lvlText w:val="•"/>
      <w:numFmt w:val="bullet"/>
      <w:start w:val="1"/>
    </w:lvl>
  </w:abstractNum>
  <w:abstractNum w:abstractNumId="42">
    <w:nsid w:val="7D5E18F8"/>
    <w:multiLevelType w:val="hybridMultilevel"/>
    <w:lvl w:ilvl="0">
      <w:lvlJc w:val="left"/>
      <w:lvlText w:val="•"/>
      <w:numFmt w:val="bullet"/>
      <w:start w:val="1"/>
    </w:lvl>
  </w:abstractNum>
  <w:abstractNum w:abstractNumId="43">
    <w:nsid w:val="5F3534A4"/>
    <w:multiLevelType w:val="hybridMultilevel"/>
    <w:lvl w:ilvl="0">
      <w:lvlJc w:val="left"/>
      <w:lvlText w:val="(%1)"/>
      <w:numFmt w:val="decimal"/>
      <w:start w:val="1"/>
    </w:lvl>
  </w:abstractNum>
  <w:abstractNum w:abstractNumId="44">
    <w:nsid w:val="73A1821B"/>
    <w:multiLevelType w:val="hybridMultilevel"/>
    <w:lvl w:ilvl="0">
      <w:lvlJc w:val="left"/>
      <w:lvlText w:val="(%1)"/>
      <w:numFmt w:val="lowerRoman"/>
      <w:start w:val="2"/>
    </w:lvl>
  </w:abstractNum>
  <w:abstractNum w:abstractNumId="45">
    <w:nsid w:val="7DE67713"/>
    <w:multiLevelType w:val="hybridMultilevel"/>
    <w:lvl w:ilvl="0">
      <w:lvlJc w:val="left"/>
      <w:lvlText w:val="•"/>
      <w:numFmt w:val="bullet"/>
      <w:start w:val="1"/>
    </w:lvl>
  </w:abstractNum>
  <w:abstractNum w:abstractNumId="46">
    <w:nsid w:val="555C55B5"/>
    <w:multiLevelType w:val="hybridMultilevel"/>
    <w:lvl w:ilvl="0">
      <w:lvlJc w:val="left"/>
      <w:lvlText w:val="•"/>
      <w:numFmt w:val="bullet"/>
      <w:start w:val="1"/>
    </w:lvl>
  </w:abstractNum>
  <w:abstractNum w:abstractNumId="47">
    <w:nsid w:val="3FA62ACA"/>
    <w:multiLevelType w:val="hybridMultilevel"/>
    <w:lvl w:ilvl="0">
      <w:lvlJc w:val="left"/>
      <w:lvlText w:val="•"/>
      <w:numFmt w:val="bullet"/>
      <w:start w:val="1"/>
    </w:lvl>
  </w:abstractNum>
  <w:abstractNum w:abstractNumId="48">
    <w:nsid w:val="14FCE74E"/>
    <w:multiLevelType w:val="hybridMultilevel"/>
    <w:lvl w:ilvl="0">
      <w:lvlJc w:val="left"/>
      <w:lvlText w:val="*"/>
      <w:numFmt w:val="bullet"/>
      <w:start w:val="1"/>
    </w:lvl>
  </w:abstractNum>
  <w:abstractNum w:abstractNumId="49">
    <w:nsid w:val="6A3DD3E8"/>
    <w:multiLevelType w:val="hybridMultilevel"/>
    <w:lvl w:ilvl="0">
      <w:lvlJc w:val="left"/>
      <w:lvlText w:val="**"/>
      <w:numFmt w:val="bullet"/>
      <w:start w:val="1"/>
    </w:lvl>
  </w:abstractNum>
  <w:abstractNum w:abstractNumId="50">
    <w:nsid w:val="71C91298"/>
    <w:multiLevelType w:val="hybridMultilevel"/>
    <w:lvl w:ilvl="0">
      <w:lvlJc w:val="left"/>
      <w:lvlText w:val="•"/>
      <w:numFmt w:val="bullet"/>
      <w:start w:val="1"/>
    </w:lvl>
  </w:abstractNum>
  <w:abstractNum w:abstractNumId="51">
    <w:nsid w:val="9DAF632"/>
    <w:multiLevelType w:val="hybridMultilevel"/>
    <w:lvl w:ilvl="0">
      <w:lvlJc w:val="left"/>
      <w:lvlText w:val="•"/>
      <w:numFmt w:val="bullet"/>
      <w:start w:val="1"/>
    </w:lvl>
  </w:abstractNum>
  <w:abstractNum w:abstractNumId="52">
    <w:nsid w:val="53299938"/>
    <w:multiLevelType w:val="hybridMultilevel"/>
    <w:lvl w:ilvl="0">
      <w:lvlJc w:val="left"/>
      <w:lvlText w:val="(%1)"/>
      <w:numFmt w:val="decimal"/>
      <w:start w:val="1"/>
    </w:lvl>
  </w:abstractNum>
  <w:abstractNum w:abstractNumId="53">
    <w:nsid w:val="1FBFE8E0"/>
    <w:multiLevelType w:val="hybridMultilevel"/>
    <w:lvl w:ilvl="0">
      <w:lvlJc w:val="left"/>
      <w:lvlText w:val="(%1)"/>
      <w:numFmt w:val="lowerRoman"/>
      <w:start w:val="1"/>
    </w:lvl>
  </w:abstractNum>
  <w:abstractNum w:abstractNumId="54">
    <w:nsid w:val="5092CA79"/>
    <w:multiLevelType w:val="hybridMultilevel"/>
    <w:lvl w:ilvl="0">
      <w:lvlJc w:val="left"/>
      <w:lvlText w:val="(%1)"/>
      <w:numFmt w:val="lowerRoman"/>
      <w:start w:val="1"/>
    </w:lvl>
  </w:abstractNum>
  <w:abstractNum w:abstractNumId="55">
    <w:nsid w:val="1D545C4D"/>
    <w:multiLevelType w:val="hybridMultilevel"/>
    <w:lvl w:ilvl="0">
      <w:lvlJc w:val="left"/>
      <w:lvlText w:val="(%1)"/>
      <w:numFmt w:val="lowerRoman"/>
      <w:start w:val="1"/>
    </w:lvl>
  </w:abstractNum>
  <w:abstractNum w:abstractNumId="56">
    <w:nsid w:val="59ADEA3D"/>
    <w:multiLevelType w:val="hybridMultilevel"/>
    <w:lvl w:ilvl="0">
      <w:lvlJc w:val="left"/>
      <w:lvlText w:val="(%1)"/>
      <w:numFmt w:val="lowerRoman"/>
      <w:start w:val="2"/>
    </w:lvl>
  </w:abstractNum>
  <w:abstractNum w:abstractNumId="57">
    <w:nsid w:val="288F1A34"/>
    <w:multiLevelType w:val="hybridMultilevel"/>
    <w:lvl w:ilvl="0">
      <w:lvlJc w:val="left"/>
      <w:lvlText w:val="(%1)"/>
      <w:numFmt w:val="decimal"/>
      <w:start w:val="2"/>
    </w:lvl>
  </w:abstractNum>
  <w:abstractNum w:abstractNumId="58">
    <w:nsid w:val="2A155DBC"/>
    <w:multiLevelType w:val="hybridMultilevel"/>
    <w:lvl w:ilvl="0">
      <w:lvlJc w:val="left"/>
      <w:lvlText w:val="*"/>
      <w:numFmt w:val="bullet"/>
      <w:start w:val="1"/>
    </w:lvl>
  </w:abstractNum>
  <w:abstractNum w:abstractNumId="59">
    <w:nsid w:val="1D9F6E5F"/>
    <w:multiLevelType w:val="hybridMultilevel"/>
    <w:lvl w:ilvl="0">
      <w:lvlJc w:val="left"/>
      <w:lvlText w:val="•"/>
      <w:numFmt w:val="bullet"/>
      <w:start w:val="1"/>
    </w:lvl>
  </w:abstractNum>
  <w:abstractNum w:abstractNumId="60">
    <w:nsid w:val="97E1B4E"/>
    <w:multiLevelType w:val="hybridMultilevel"/>
    <w:lvl w:ilvl="0">
      <w:lvlJc w:val="left"/>
      <w:lvlText w:val="•"/>
      <w:numFmt w:val="bullet"/>
      <w:start w:val="1"/>
    </w:lvl>
  </w:abstractNum>
  <w:abstractNum w:abstractNumId="61">
    <w:nsid w:val="51088277"/>
    <w:multiLevelType w:val="hybridMultilevel"/>
    <w:lvl w:ilvl="0">
      <w:lvlJc w:val="left"/>
      <w:lvlText w:val="•"/>
      <w:numFmt w:val="bullet"/>
      <w:start w:val="1"/>
    </w:lvl>
  </w:abstractNum>
  <w:abstractNum w:abstractNumId="62">
    <w:nsid w:val="1CA0C5FA"/>
    <w:multiLevelType w:val="hybridMultilevel"/>
    <w:lvl w:ilvl="0">
      <w:lvlJc w:val="left"/>
      <w:lvlText w:val="(%1)"/>
      <w:numFmt w:val="lowerRoman"/>
      <w:start w:val="2"/>
    </w:lvl>
  </w:abstractNum>
  <w:abstractNum w:abstractNumId="63">
    <w:nsid w:val="53584BCB"/>
    <w:multiLevelType w:val="hybridMultilevel"/>
    <w:lvl w:ilvl="0">
      <w:lvlJc w:val="left"/>
      <w:lvlText w:val="•"/>
      <w:numFmt w:val="bullet"/>
      <w:start w:val="1"/>
    </w:lvl>
  </w:abstractNum>
  <w:abstractNum w:abstractNumId="64">
    <w:nsid w:val="415E286C"/>
    <w:multiLevelType w:val="hybridMultilevel"/>
    <w:lvl w:ilvl="0">
      <w:lvlJc w:val="left"/>
      <w:lvlText w:val="•"/>
      <w:numFmt w:val="bullet"/>
      <w:start w:val="1"/>
    </w:lvl>
    <w:lvl w:ilvl="1">
      <w:lvlJc w:val="left"/>
      <w:lvlText w:val="•"/>
      <w:numFmt w:val="bullet"/>
      <w:start w:val="1"/>
    </w:lvl>
  </w:abstractNum>
  <w:abstractNum w:abstractNumId="65">
    <w:nsid w:val="7C58FD05"/>
    <w:multiLevelType w:val="hybridMultilevel"/>
    <w:lvl w:ilvl="0">
      <w:lvlJc w:val="left"/>
      <w:lvlText w:val="•"/>
      <w:numFmt w:val="bullet"/>
      <w:start w:val="1"/>
    </w:lvl>
  </w:abstractNum>
  <w:abstractNum w:abstractNumId="66">
    <w:nsid w:val="23D86AAC"/>
    <w:multiLevelType w:val="hybridMultilevel"/>
    <w:lvl w:ilvl="0">
      <w:lvlJc w:val="left"/>
      <w:lvlText w:val="•"/>
      <w:numFmt w:val="bullet"/>
      <w:start w:val="1"/>
    </w:lvl>
  </w:abstractNum>
  <w:abstractNum w:abstractNumId="67">
    <w:nsid w:val="45E6D486"/>
    <w:multiLevelType w:val="hybridMultilevel"/>
    <w:lvl w:ilvl="0">
      <w:lvlJc w:val="left"/>
      <w:lvlText w:val="(%1)"/>
      <w:numFmt w:val="decimal"/>
      <w:start w:val="1"/>
    </w:lvl>
  </w:abstractNum>
  <w:abstractNum w:abstractNumId="68">
    <w:nsid w:val="5C10FE21"/>
    <w:multiLevelType w:val="hybridMultilevel"/>
    <w:lvl w:ilvl="0">
      <w:lvlJc w:val="left"/>
      <w:lvlText w:val="(%1)"/>
      <w:numFmt w:val="decimal"/>
      <w:start w:val="1"/>
    </w:lvl>
  </w:abstractNum>
  <w:abstractNum w:abstractNumId="69">
    <w:nsid w:val="E7FFA2B"/>
    <w:multiLevelType w:val="hybridMultilevel"/>
    <w:lvl w:ilvl="0">
      <w:lvlJc w:val="left"/>
      <w:lvlText w:val="•"/>
      <w:numFmt w:val="bullet"/>
      <w:start w:val="1"/>
    </w:lvl>
  </w:abstractNum>
  <w:abstractNum w:abstractNumId="70">
    <w:nsid w:val="3C5991AA"/>
    <w:multiLevelType w:val="hybridMultilevel"/>
    <w:lvl w:ilvl="0">
      <w:lvlJc w:val="left"/>
      <w:lvlText w:val="(%1)"/>
      <w:numFmt w:val="decimal"/>
      <w:start w:val="1"/>
    </w:lvl>
  </w:abstractNum>
  <w:abstractNum w:abstractNumId="71">
    <w:nsid w:val="4BD8591A"/>
    <w:multiLevelType w:val="hybridMultilevel"/>
    <w:lvl w:ilvl="0">
      <w:lvlJc w:val="left"/>
      <w:lvlText w:val="•"/>
      <w:numFmt w:val="bullet"/>
      <w:start w:val="1"/>
    </w:lvl>
  </w:abstractNum>
  <w:abstractNum w:abstractNumId="72">
    <w:nsid w:val="78DF6A55"/>
    <w:multiLevelType w:val="hybridMultilevel"/>
    <w:lvl w:ilvl="0">
      <w:lvlJc w:val="left"/>
      <w:lvlText w:val="(%1)"/>
      <w:numFmt w:val="decimal"/>
      <w:start w:val="1"/>
    </w:lvl>
  </w:abstractNum>
  <w:abstractNum w:abstractNumId="73">
    <w:nsid w:val="39B7AAA2"/>
    <w:multiLevelType w:val="hybridMultilevel"/>
    <w:lvl w:ilvl="0">
      <w:lvlJc w:val="left"/>
      <w:lvlText w:val="•"/>
      <w:numFmt w:val="bullet"/>
      <w:start w:val="1"/>
    </w:lvl>
  </w:abstractNum>
  <w:abstractNum w:abstractNumId="74">
    <w:nsid w:val="2B0D8DBE"/>
    <w:multiLevelType w:val="hybridMultilevel"/>
    <w:lvl w:ilvl="0">
      <w:lvlJc w:val="left"/>
      <w:lvlText w:val="(%1)"/>
      <w:numFmt w:val="lowerRoman"/>
      <w:start w:val="3"/>
    </w:lvl>
  </w:abstractNum>
  <w:abstractNum w:abstractNumId="75">
    <w:nsid w:val="6C80EC70"/>
    <w:multiLevelType w:val="hybridMultilevel"/>
    <w:lvl w:ilvl="0">
      <w:lvlJc w:val="left"/>
      <w:lvlText w:val="•"/>
      <w:numFmt w:val="bullet"/>
      <w:start w:val="1"/>
    </w:lvl>
  </w:abstractNum>
  <w:abstractNum w:abstractNumId="76">
    <w:nsid w:val="379E21B5"/>
    <w:multiLevelType w:val="hybridMultilevel"/>
    <w:lvl w:ilvl="0">
      <w:lvlJc w:val="left"/>
      <w:lvlText w:val="(%1)"/>
      <w:numFmt w:val="decimal"/>
      <w:start w:val="1"/>
    </w:lvl>
  </w:abstractNum>
  <w:abstractNum w:abstractNumId="77">
    <w:nsid w:val="69E373"/>
    <w:multiLevelType w:val="hybridMultilevel"/>
    <w:lvl w:ilvl="0">
      <w:lvlJc w:val="left"/>
      <w:lvlText w:val="•"/>
      <w:numFmt w:val="bullet"/>
      <w:start w:val="1"/>
    </w:lvl>
  </w:abstractNum>
  <w:abstractNum w:abstractNumId="78">
    <w:nsid w:val="2C27173B"/>
    <w:multiLevelType w:val="hybridMultilevel"/>
    <w:lvl w:ilvl="0">
      <w:lvlJc w:val="left"/>
      <w:lvlText w:val="•"/>
      <w:numFmt w:val="bullet"/>
      <w:start w:val="1"/>
    </w:lvl>
  </w:abstractNum>
  <w:abstractNum w:abstractNumId="79">
    <w:nsid w:val="4C9B0904"/>
    <w:multiLevelType w:val="hybridMultilevel"/>
    <w:lvl w:ilvl="0">
      <w:lvlJc w:val="left"/>
      <w:lvlText w:val="•"/>
      <w:numFmt w:val="bullet"/>
      <w:start w:val="1"/>
    </w:lvl>
  </w:abstractNum>
  <w:abstractNum w:abstractNumId="80">
    <w:nsid w:val="6AA7B75C"/>
    <w:multiLevelType w:val="hybridMultilevel"/>
    <w:lvl w:ilvl="0">
      <w:lvlJc w:val="left"/>
      <w:lvlText w:val="•"/>
      <w:numFmt w:val="bullet"/>
      <w:start w:val="1"/>
    </w:lvl>
  </w:abstractNum>
  <w:abstractNum w:abstractNumId="81">
    <w:nsid w:val="1DF029D3"/>
    <w:multiLevelType w:val="hybridMultilevel"/>
    <w:lvl w:ilvl="0">
      <w:lvlJc w:val="left"/>
      <w:lvlText w:val="*"/>
      <w:numFmt w:val="bullet"/>
      <w:start w:val="1"/>
    </w:lvl>
  </w:abstractNum>
  <w:abstractNum w:abstractNumId="82">
    <w:nsid w:val="5675FF36"/>
    <w:multiLevelType w:val="hybridMultilevel"/>
    <w:lvl w:ilvl="0">
      <w:lvlJc w:val="left"/>
      <w:lvlText w:val="(%1)"/>
      <w:numFmt w:val="lowerRoman"/>
      <w:start w:val="3"/>
    </w:lvl>
  </w:abstractNum>
  <w:abstractNum w:abstractNumId="83">
    <w:nsid w:val="3DD15094"/>
    <w:multiLevelType w:val="hybridMultilevel"/>
    <w:lvl w:ilvl="0">
      <w:lvlJc w:val="left"/>
      <w:lvlText w:val="•"/>
      <w:numFmt w:val="bullet"/>
      <w:start w:val="1"/>
    </w:lvl>
  </w:abstractNum>
  <w:abstractNum w:abstractNumId="84">
    <w:nsid w:val="3DB012B3"/>
    <w:multiLevelType w:val="hybridMultilevel"/>
    <w:lvl w:ilvl="0">
      <w:lvlJc w:val="left"/>
      <w:lvlText w:val="("/>
      <w:numFmt w:val="bullet"/>
      <w:start w:val="1"/>
    </w:lvl>
  </w:abstractNum>
  <w:abstractNum w:abstractNumId="85">
    <w:nsid w:val="2708C9AF"/>
    <w:multiLevelType w:val="hybridMultilevel"/>
    <w:lvl w:ilvl="0">
      <w:lvlJc w:val="left"/>
      <w:lvlText w:val="•"/>
      <w:numFmt w:val="bullet"/>
      <w:start w:val="1"/>
    </w:lvl>
  </w:abstractNum>
  <w:abstractNum w:abstractNumId="86">
    <w:nsid w:val="5B25ACE2"/>
    <w:multiLevelType w:val="hybridMultilevel"/>
    <w:lvl w:ilvl="0">
      <w:lvlJc w:val="left"/>
      <w:lvlText w:val="•"/>
      <w:numFmt w:val="bullet"/>
      <w:start w:val="1"/>
    </w:lvl>
  </w:abstractNum>
  <w:abstractNum w:abstractNumId="87">
    <w:nsid w:val="175DFCF0"/>
    <w:multiLevelType w:val="hybridMultilevel"/>
    <w:lvl w:ilvl="0">
      <w:lvlJc w:val="left"/>
      <w:lvlText w:val="•"/>
      <w:numFmt w:val="bullet"/>
      <w:start w:val="1"/>
    </w:lvl>
  </w:abstractNum>
  <w:abstractNum w:abstractNumId="88">
    <w:nsid w:val="4F97E3E4"/>
    <w:multiLevelType w:val="hybridMultilevel"/>
    <w:lvl w:ilvl="0">
      <w:lvlJc w:val="left"/>
      <w:lvlText w:val="•"/>
      <w:numFmt w:val="bullet"/>
      <w:start w:val="1"/>
    </w:lvl>
  </w:abstractNum>
  <w:abstractNum w:abstractNumId="89">
    <w:nsid w:val="53B0A9E"/>
    <w:multiLevelType w:val="hybridMultilevel"/>
    <w:lvl w:ilvl="0">
      <w:lvlJc w:val="left"/>
      <w:lvlText w:val="(%1)"/>
      <w:numFmt w:val="lowerRoman"/>
      <w:start w:val="3"/>
    </w:lvl>
  </w:abstractNum>
  <w:abstractNum w:abstractNumId="90">
    <w:nsid w:val="34FD6B4F"/>
    <w:multiLevelType w:val="hybridMultilevel"/>
    <w:lvl w:ilvl="0">
      <w:lvlJc w:val="left"/>
      <w:lvlText w:val="•"/>
      <w:numFmt w:val="bullet"/>
      <w:start w:val="1"/>
    </w:lvl>
  </w:abstractNum>
  <w:abstractNum w:abstractNumId="91">
    <w:nsid w:val="5915FF32"/>
    <w:multiLevelType w:val="hybridMultilevel"/>
    <w:lvl w:ilvl="0">
      <w:lvlJc w:val="left"/>
      <w:lvlText w:val="*"/>
      <w:numFmt w:val="bullet"/>
      <w:start w:val="1"/>
    </w:lvl>
  </w:abstractNum>
  <w:abstractNum w:abstractNumId="92">
    <w:nsid w:val="56438D15"/>
    <w:multiLevelType w:val="hybridMultilevel"/>
    <w:lvl w:ilvl="0">
      <w:lvlJc w:val="left"/>
      <w:lvlText w:val="•"/>
      <w:numFmt w:val="bullet"/>
      <w:start w:val="1"/>
    </w:lvl>
  </w:abstractNum>
  <w:abstractNum w:abstractNumId="93">
    <w:nsid w:val="519E3149"/>
    <w:multiLevelType w:val="hybridMultilevel"/>
    <w:lvl w:ilvl="0">
      <w:lvlJc w:val="left"/>
      <w:lvlText w:val="*"/>
      <w:numFmt w:val="bullet"/>
      <w:start w:val="1"/>
    </w:lvl>
  </w:abstractNum>
  <w:abstractNum w:abstractNumId="94">
    <w:nsid w:val="2C6E4AFD"/>
    <w:multiLevelType w:val="hybridMultilevel"/>
    <w:lvl w:ilvl="0">
      <w:lvlJc w:val="left"/>
      <w:lvlText w:val="**"/>
      <w:numFmt w:val="bullet"/>
      <w:start w:val="1"/>
    </w:lvl>
  </w:abstractNum>
  <w:abstractNum w:abstractNumId="95">
    <w:nsid w:val="17A1B582"/>
    <w:multiLevelType w:val="hybridMultilevel"/>
    <w:lvl w:ilvl="0">
      <w:lvlJc w:val="left"/>
      <w:lvlText w:val="***"/>
      <w:numFmt w:val="bullet"/>
      <w:start w:val="1"/>
    </w:lvl>
  </w:abstractNum>
  <w:abstractNum w:abstractNumId="96">
    <w:nsid w:val="4DF72E4E"/>
    <w:multiLevelType w:val="hybridMultilevel"/>
    <w:lvl w:ilvl="0">
      <w:lvlJc w:val="left"/>
      <w:lvlText w:val="†"/>
      <w:numFmt w:val="bullet"/>
      <w:start w:val="1"/>
    </w:lvl>
  </w:abstractNum>
  <w:abstractNum w:abstractNumId="97">
    <w:nsid w:val="5046B5A9"/>
    <w:multiLevelType w:val="hybridMultilevel"/>
    <w:lvl w:ilvl="0">
      <w:lvlJc w:val="left"/>
      <w:lvlText w:val="(%1)"/>
      <w:numFmt w:val="decimal"/>
      <w:start w:val="1"/>
    </w:lvl>
  </w:abstractNum>
  <w:abstractNum w:abstractNumId="98">
    <w:nsid w:val="5D888A08"/>
    <w:multiLevelType w:val="hybridMultilevel"/>
    <w:lvl w:ilvl="0">
      <w:lvlJc w:val="left"/>
      <w:lvlText w:val="%1"/>
      <w:numFmt w:val="decimal"/>
      <w:start w:val="1"/>
    </w:lvl>
    <w:lvl w:ilvl="1">
      <w:lvlJc w:val="left"/>
      <w:lvlText w:val="(%2)"/>
      <w:numFmt w:val="lowerRoman"/>
      <w:start w:val="2"/>
    </w:lvl>
  </w:abstractNum>
  <w:abstractNum w:abstractNumId="99">
    <w:nsid w:val="2A082C70"/>
    <w:multiLevelType w:val="hybridMultilevel"/>
    <w:lvl w:ilvl="0">
      <w:lvlJc w:val="left"/>
      <w:lvlText w:val="(%1)"/>
      <w:numFmt w:val="decimal"/>
      <w:start w:val="2"/>
    </w:lvl>
    <w:lvl w:ilvl="1">
      <w:lvlJc w:val="left"/>
      <w:lvlText w:val="%2"/>
      <w:numFmt w:val="lowerRoman"/>
      <w:start w:val="1"/>
    </w:lvl>
  </w:abstractNum>
  <w:abstractNum w:abstractNumId="100">
    <w:nsid w:val="5EC6AFD4"/>
    <w:multiLevelType w:val="hybridMultilevel"/>
    <w:lvl w:ilvl="0">
      <w:lvlJc w:val="left"/>
      <w:lvlText w:val="(%1)"/>
      <w:numFmt w:val="decimal"/>
      <w:start w:val="4"/>
    </w:lvl>
    <w:lvl w:ilvl="1">
      <w:lvlJc w:val="left"/>
      <w:lvlText w:val="(%2)"/>
      <w:numFmt w:val="lowerRoman"/>
      <w:start w:val="2"/>
    </w:lvl>
  </w:abstractNum>
  <w:abstractNum w:abstractNumId="101">
    <w:nsid w:val="19E21BB2"/>
    <w:multiLevelType w:val="hybridMultilevel"/>
    <w:lvl w:ilvl="0">
      <w:lvlJc w:val="left"/>
      <w:lvlText w:val="•"/>
      <w:numFmt w:val="bullet"/>
      <w:start w:val="1"/>
    </w:lvl>
  </w:abstractNum>
  <w:abstractNum w:abstractNumId="102">
    <w:nsid w:val="75E0858A"/>
    <w:multiLevelType w:val="hybridMultilevel"/>
    <w:lvl w:ilvl="0">
      <w:lvlJc w:val="left"/>
      <w:lvlText w:val="•"/>
      <w:numFmt w:val="bullet"/>
      <w:start w:val="1"/>
    </w:lvl>
  </w:abstractNum>
  <w:abstractNum w:abstractNumId="103">
    <w:nsid w:val="57A61A29"/>
    <w:multiLevelType w:val="hybridMultilevel"/>
    <w:lvl w:ilvl="0">
      <w:lvlJc w:val="left"/>
      <w:lvlText w:val="•"/>
      <w:numFmt w:val="bullet"/>
      <w:start w:val="1"/>
    </w:lvl>
  </w:abstractNum>
  <w:abstractNum w:abstractNumId="104">
    <w:nsid w:val="5399C654"/>
    <w:multiLevelType w:val="hybridMultilevel"/>
    <w:lvl w:ilvl="0">
      <w:lvlJc w:val="left"/>
      <w:lvlText w:val="•"/>
      <w:numFmt w:val="bullet"/>
      <w:start w:val="1"/>
    </w:lvl>
  </w:abstractNum>
  <w:abstractNum w:abstractNumId="105">
    <w:nsid w:val="20EE1348"/>
    <w:multiLevelType w:val="hybridMultilevel"/>
    <w:lvl w:ilvl="0">
      <w:lvlJc w:val="left"/>
      <w:lvlText w:val="(%1)"/>
      <w:numFmt w:val="lowerRoman"/>
      <w:start w:val="2"/>
    </w:lvl>
  </w:abstractNum>
  <w:abstractNum w:abstractNumId="106">
    <w:nsid w:val="4427069A"/>
    <w:multiLevelType w:val="hybridMultilevel"/>
    <w:lvl w:ilvl="0">
      <w:lvlJc w:val="left"/>
      <w:lvlText w:val="•"/>
      <w:numFmt w:val="bullet"/>
      <w:start w:val="1"/>
    </w:lvl>
  </w:abstractNum>
  <w:abstractNum w:abstractNumId="107">
    <w:nsid w:val="B37E80A"/>
    <w:multiLevelType w:val="hybridMultilevel"/>
    <w:lvl w:ilvl="0">
      <w:lvlJc w:val="left"/>
      <w:lvlText w:val="(%1)"/>
      <w:numFmt w:val="lowerLetter"/>
      <w:start w:val="2"/>
    </w:lvl>
  </w:abstractNum>
  <w:abstractNum w:abstractNumId="108">
    <w:nsid w:val="2157F6BC"/>
    <w:multiLevelType w:val="hybridMultilevel"/>
    <w:lvl w:ilvl="0">
      <w:lvlJc w:val="left"/>
      <w:lvlText w:val="•"/>
      <w:numFmt w:val="bullet"/>
      <w:start w:val="1"/>
    </w:lvl>
  </w:abstractNum>
  <w:abstractNum w:abstractNumId="109">
    <w:nsid w:val="704E1DD5"/>
    <w:multiLevelType w:val="hybridMultilevel"/>
    <w:lvl w:ilvl="0">
      <w:lvlJc w:val="left"/>
      <w:lvlText w:val="•"/>
      <w:numFmt w:val="bullet"/>
      <w:start w:val="1"/>
    </w:lvl>
  </w:abstractNum>
  <w:abstractNum w:abstractNumId="110">
    <w:nsid w:val="57D2F10E"/>
    <w:multiLevelType w:val="hybridMultilevel"/>
    <w:lvl w:ilvl="0">
      <w:lvlJc w:val="left"/>
      <w:lvlText w:val="(%1)"/>
      <w:numFmt w:val="lowerRoman"/>
      <w:start w:val="5"/>
    </w:lvl>
  </w:abstractNum>
  <w:abstractNum w:abstractNumId="111">
    <w:nsid w:val="BFFAE18"/>
    <w:multiLevelType w:val="hybridMultilevel"/>
    <w:lvl w:ilvl="0">
      <w:lvlJc w:val="left"/>
      <w:lvlText w:val="•"/>
      <w:numFmt w:val="bullet"/>
      <w:start w:val="1"/>
    </w:lvl>
  </w:abstractNum>
  <w:abstractNum w:abstractNumId="112">
    <w:nsid w:val="E3E47A8"/>
    <w:multiLevelType w:val="hybridMultilevel"/>
    <w:lvl w:ilvl="0">
      <w:lvlJc w:val="left"/>
      <w:lvlText w:val="•"/>
      <w:numFmt w:val="bullet"/>
      <w:start w:val="1"/>
    </w:lvl>
  </w:abstractNum>
  <w:abstractNum w:abstractNumId="113">
    <w:nsid w:val="2E48F044"/>
    <w:multiLevelType w:val="hybridMultilevel"/>
    <w:lvl w:ilvl="0">
      <w:lvlJc w:val="left"/>
      <w:lvlText w:val="(%1)"/>
      <w:numFmt w:val="lowerRoman"/>
      <w:start w:val="1"/>
    </w:lvl>
  </w:abstractNum>
  <w:abstractNum w:abstractNumId="114">
    <w:nsid w:val="49D0FEAC"/>
    <w:multiLevelType w:val="hybridMultilevel"/>
    <w:lvl w:ilvl="0">
      <w:lvlJc w:val="left"/>
      <w:lvlText w:val="(%1)"/>
      <w:numFmt w:val="lowerRoman"/>
      <w:start w:val="2"/>
    </w:lvl>
  </w:abstractNum>
  <w:abstractNum w:abstractNumId="115">
    <w:nsid w:val="4BEE5A5B"/>
    <w:multiLevelType w:val="hybridMultilevel"/>
    <w:lvl w:ilvl="0">
      <w:lvlJc w:val="left"/>
      <w:lvlText w:val="•"/>
      <w:numFmt w:val="bullet"/>
      <w:start w:val="1"/>
    </w:lvl>
  </w:abstractNum>
  <w:abstractNum w:abstractNumId="116">
    <w:nsid w:val="5551B9F3"/>
    <w:multiLevelType w:val="hybridMultilevel"/>
    <w:lvl w:ilvl="0">
      <w:lvlJc w:val="left"/>
      <w:lvlText w:val="•"/>
      <w:numFmt w:val="bullet"/>
      <w:start w:val="1"/>
    </w:lvl>
  </w:abstractNum>
  <w:abstractNum w:abstractNumId="117">
    <w:nsid w:val="24F6AB8E"/>
    <w:multiLevelType w:val="hybridMultilevel"/>
    <w:lvl w:ilvl="0">
      <w:lvlJc w:val="left"/>
      <w:lvlText w:val="•"/>
      <w:numFmt w:val="bullet"/>
      <w:start w:val="1"/>
    </w:lvl>
  </w:abstractNum>
  <w:abstractNum w:abstractNumId="118">
    <w:nsid w:val="634C574C"/>
    <w:multiLevelType w:val="hybridMultilevel"/>
    <w:lvl w:ilvl="0">
      <w:lvlJc w:val="left"/>
      <w:lvlText w:val="•"/>
      <w:numFmt w:val="bullet"/>
      <w:start w:val="1"/>
    </w:lvl>
  </w:abstractNum>
  <w:abstractNum w:abstractNumId="119">
    <w:nsid w:val="24E99DD7"/>
    <w:multiLevelType w:val="hybridMultilevel"/>
    <w:lvl w:ilvl="0">
      <w:lvlJc w:val="left"/>
      <w:lvlText w:val="•"/>
      <w:numFmt w:val="bullet"/>
      <w:start w:val="1"/>
    </w:lvl>
  </w:abstractNum>
  <w:abstractNum w:abstractNumId="120">
    <w:nsid w:val="2A31B62D"/>
    <w:multiLevelType w:val="hybridMultilevel"/>
    <w:lvl w:ilvl="0">
      <w:lvlJc w:val="left"/>
      <w:lvlText w:val="•"/>
      <w:numFmt w:val="bullet"/>
      <w:start w:val="1"/>
    </w:lvl>
  </w:abstractNum>
  <w:abstractNum w:abstractNumId="121">
    <w:nsid w:val="1849C29B"/>
    <w:multiLevelType w:val="hybridMultilevel"/>
    <w:lvl w:ilvl="0">
      <w:lvlJc w:val="left"/>
      <w:lvlText w:val="•"/>
      <w:numFmt w:val="bullet"/>
      <w:start w:val="1"/>
    </w:lvl>
  </w:abstractNum>
  <w:abstractNum w:abstractNumId="122">
    <w:nsid w:val="7DFF9D09"/>
    <w:multiLevelType w:val="hybridMultilevel"/>
    <w:lvl w:ilvl="0">
      <w:lvlJc w:val="left"/>
      <w:lvlText w:val="(%1)"/>
      <w:numFmt w:val="lowerLetter"/>
      <w:start w:val="1"/>
    </w:lvl>
  </w:abstractNum>
  <w:abstractNum w:abstractNumId="123">
    <w:nsid w:val="754342"/>
    <w:multiLevelType w:val="hybridMultilevel"/>
    <w:lvl w:ilvl="0">
      <w:lvlJc w:val="left"/>
      <w:lvlText w:val="•"/>
      <w:numFmt w:val="bullet"/>
      <w:start w:val="1"/>
    </w:lvl>
  </w:abstractNum>
  <w:abstractNum w:abstractNumId="124">
    <w:nsid w:val="69E7F3E5"/>
    <w:multiLevelType w:val="hybridMultilevel"/>
    <w:lvl w:ilvl="0">
      <w:lvlJc w:val="left"/>
      <w:lvlText w:val="•"/>
      <w:numFmt w:val="bullet"/>
      <w:start w:val="1"/>
    </w:lvl>
  </w:abstractNum>
  <w:abstractNum w:abstractNumId="125">
    <w:nsid w:val="2A6DE806"/>
    <w:multiLevelType w:val="hybridMultilevel"/>
    <w:lvl w:ilvl="0">
      <w:lvlJc w:val="left"/>
      <w:lvlText w:val="(%1)"/>
      <w:numFmt w:val="lowerRoman"/>
      <w:start w:val="3"/>
    </w:lvl>
  </w:abstractNum>
  <w:abstractNum w:abstractNumId="126">
    <w:nsid w:val="1816F8C4"/>
    <w:multiLevelType w:val="hybridMultilevel"/>
    <w:lvl w:ilvl="0">
      <w:lvlJc w:val="left"/>
      <w:lvlText w:val="(%1)"/>
      <w:numFmt w:val="lowerRoman"/>
      <w:start w:val="4"/>
    </w:lvl>
  </w:abstractNum>
  <w:abstractNum w:abstractNumId="127">
    <w:nsid w:val="37DF2233"/>
    <w:multiLevelType w:val="hybridMultilevel"/>
    <w:lvl w:ilvl="0">
      <w:lvlJc w:val="left"/>
      <w:lvlText w:val="%1."/>
      <w:numFmt w:val="decimal"/>
      <w:start w:val="1"/>
    </w:lvl>
    <w:lvl w:ilvl="1">
      <w:lvlJc w:val="left"/>
      <w:lvlText w:val="%2."/>
      <w:numFmt w:val="lowerLetter"/>
      <w:start w:val="1"/>
    </w:lvl>
  </w:abstractNum>
  <w:abstractNum w:abstractNumId="128">
    <w:nsid w:val="7AB49DAF"/>
    <w:multiLevelType w:val="hybridMultilevel"/>
    <w:lvl w:ilvl="0">
      <w:lvlJc w:val="left"/>
      <w:lvlText w:val="•"/>
      <w:numFmt w:val="bullet"/>
      <w:start w:val="1"/>
    </w:lvl>
  </w:abstractNum>
  <w:abstractNum w:abstractNumId="129">
    <w:nsid w:val="759F82CD"/>
    <w:multiLevelType w:val="hybridMultilevel"/>
    <w:lvl w:ilvl="0">
      <w:lvlJc w:val="left"/>
      <w:lvlText w:val="•"/>
      <w:numFmt w:val="bullet"/>
      <w:start w:val="1"/>
    </w:lvl>
  </w:abstractNum>
  <w:abstractNum w:abstractNumId="130">
    <w:nsid w:val="61E74EA3"/>
    <w:multiLevelType w:val="hybridMultilevel"/>
    <w:lvl w:ilvl="0">
      <w:lvlJc w:val="left"/>
      <w:lvlText w:val="•"/>
      <w:numFmt w:val="bullet"/>
      <w:start w:val="1"/>
    </w:lvl>
  </w:abstractNum>
  <w:abstractNum w:abstractNumId="131">
    <w:nsid w:val="597B4D84"/>
    <w:multiLevelType w:val="hybridMultilevel"/>
    <w:lvl w:ilvl="0">
      <w:lvlJc w:val="left"/>
      <w:lvlText w:val="(%1)"/>
      <w:numFmt w:val="lowerRoman"/>
      <w:start w:val="3"/>
    </w:lvl>
  </w:abstractNum>
  <w:abstractNum w:abstractNumId="132">
    <w:nsid w:val="F819E7F"/>
    <w:multiLevelType w:val="hybridMultilevel"/>
    <w:lvl w:ilvl="0">
      <w:lvlJc w:val="left"/>
      <w:lvlText w:val="(%1)"/>
      <w:numFmt w:val="lowerLetter"/>
      <w:start w:val="1"/>
    </w:lvl>
  </w:abstractNum>
  <w:abstractNum w:abstractNumId="133">
    <w:nsid w:val="57C7D42D"/>
    <w:multiLevelType w:val="hybridMultilevel"/>
    <w:lvl w:ilvl="0">
      <w:lvlJc w:val="left"/>
      <w:lvlText w:val="§"/>
      <w:numFmt w:val="bullet"/>
      <w:start w:val="1"/>
    </w:lvl>
  </w:abstractNum>
  <w:abstractNum w:abstractNumId="134">
    <w:nsid w:val="312167AD"/>
    <w:multiLevelType w:val="hybridMultilevel"/>
    <w:lvl w:ilvl="0">
      <w:lvlJc w:val="left"/>
      <w:lvlText w:val="•"/>
      <w:numFmt w:val="bullet"/>
      <w:start w:val="1"/>
    </w:lvl>
  </w:abstractNum>
  <w:abstractNum w:abstractNumId="135">
    <w:nsid w:val="631B64D4"/>
    <w:multiLevelType w:val="hybridMultilevel"/>
    <w:lvl w:ilvl="0">
      <w:lvlJc w:val="left"/>
      <w:lvlText w:val="•"/>
      <w:numFmt w:val="bullet"/>
      <w:start w:val="1"/>
    </w:lvl>
  </w:abstractNum>
  <w:abstractNum w:abstractNumId="136">
    <w:nsid w:val="78B5E776"/>
    <w:multiLevelType w:val="hybridMultilevel"/>
    <w:lvl w:ilvl="0">
      <w:lvlJc w:val="left"/>
      <w:lvlText w:val="•"/>
      <w:numFmt w:val="bullet"/>
      <w:start w:val="1"/>
    </w:lvl>
  </w:abstractNum>
  <w:abstractNum w:abstractNumId="137">
    <w:nsid w:val="75486E47"/>
    <w:multiLevelType w:val="hybridMultilevel"/>
    <w:lvl w:ilvl="0">
      <w:lvlJc w:val="left"/>
      <w:lvlText w:val="•"/>
      <w:numFmt w:val="bullet"/>
      <w:start w:val="1"/>
    </w:lvl>
  </w:abstractNum>
  <w:abstractNum w:abstractNumId="138">
    <w:nsid w:val="6E534CDE"/>
    <w:multiLevelType w:val="hybridMultilevel"/>
    <w:lvl w:ilvl="0">
      <w:lvlJc w:val="left"/>
      <w:lvlText w:val="(%1)"/>
      <w:numFmt w:val="lowerRoman"/>
      <w:start w:val="11"/>
    </w:lvl>
  </w:abstractNum>
  <w:abstractNum w:abstractNumId="139">
    <w:nsid w:val="1A0DDE32"/>
    <w:multiLevelType w:val="hybridMultilevel"/>
    <w:lvl w:ilvl="0">
      <w:lvlJc w:val="left"/>
      <w:lvlText w:val="•"/>
      <w:numFmt w:val="bullet"/>
      <w:start w:val="1"/>
    </w:lvl>
  </w:abstractNum>
  <w:abstractNum w:abstractNumId="140">
    <w:nsid w:val="65968C1C"/>
    <w:multiLevelType w:val="hybridMultilevel"/>
    <w:lvl w:ilvl="0">
      <w:lvlJc w:val="left"/>
      <w:lvlText w:val="•"/>
      <w:numFmt w:val="bullet"/>
      <w:start w:val="1"/>
    </w:lvl>
  </w:abstractNum>
  <w:abstractNum w:abstractNumId="141">
    <w:nsid w:val="46263DEC"/>
    <w:multiLevelType w:val="hybridMultilevel"/>
    <w:lvl w:ilvl="0">
      <w:lvlJc w:val="left"/>
      <w:lvlText w:val="(%1)"/>
      <w:numFmt w:val="lowerRoman"/>
      <w:start w:val="1"/>
    </w:lvl>
  </w:abstractNum>
  <w:abstractNum w:abstractNumId="142">
    <w:nsid w:val="260D8C4A"/>
    <w:multiLevelType w:val="hybridMultilevel"/>
    <w:lvl w:ilvl="0">
      <w:lvlJc w:val="left"/>
      <w:lvlText w:val="​"/>
      <w:numFmt w:val="bullet"/>
      <w:start w:val="1"/>
    </w:lvl>
  </w:abstractNum>
  <w:abstractNum w:abstractNumId="143">
    <w:nsid w:val="73D4D3C4"/>
    <w:multiLevelType w:val="hybridMultilevel"/>
    <w:lvl w:ilvl="0">
      <w:lvlJc w:val="left"/>
      <w:lvlText w:val="​"/>
      <w:numFmt w:val="bullet"/>
      <w:start w:val="1"/>
    </w:lvl>
  </w:abstractNum>
  <w:abstractNum w:abstractNumId="144">
    <w:nsid w:val="746F2E30"/>
    <w:multiLevelType w:val="hybridMultilevel"/>
    <w:lvl w:ilvl="0">
      <w:lvlJc w:val="left"/>
      <w:lvlText w:val="−"/>
      <w:numFmt w:val="bullet"/>
      <w:start w:val="1"/>
    </w:lvl>
  </w:abstractNum>
  <w:abstractNum w:abstractNumId="145">
    <w:nsid w:val="6FDE8AF6"/>
    <w:multiLevelType w:val="hybridMultilevel"/>
    <w:lvl w:ilvl="0">
      <w:lvlJc w:val="left"/>
      <w:lvlText w:val="−"/>
      <w:numFmt w:val="bullet"/>
      <w:start w:val="1"/>
    </w:lvl>
  </w:abstractNum>
  <w:abstractNum w:abstractNumId="146">
    <w:nsid w:val="3FC32E20"/>
    <w:multiLevelType w:val="hybridMultilevel"/>
    <w:lvl w:ilvl="0">
      <w:lvlJc w:val="left"/>
      <w:lvlText w:val="•"/>
      <w:numFmt w:val="bullet"/>
      <w:start w:val="1"/>
    </w:lvl>
  </w:abstractNum>
  <w:abstractNum w:abstractNumId="147">
    <w:nsid w:val="49C0E823"/>
    <w:multiLevelType w:val="hybridMultilevel"/>
    <w:lvl w:ilvl="0">
      <w:lvlJc w:val="left"/>
      <w:lvlText w:val="%1."/>
      <w:numFmt w:val="decimal"/>
      <w:start w:val="1"/>
    </w:lvl>
    <w:lvl w:ilvl="1">
      <w:lvlJc w:val="left"/>
      <w:lvlText w:val="•"/>
      <w:numFmt w:val="bullet"/>
      <w:start w:val="1"/>
    </w:lvl>
  </w:abstractNum>
  <w:abstractNum w:abstractNumId="148">
    <w:nsid w:val="14D53685"/>
    <w:multiLevelType w:val="hybridMultilevel"/>
    <w:lvl w:ilvl="0">
      <w:lvlJc w:val="left"/>
      <w:lvlText w:val="(%1)"/>
      <w:numFmt w:val="lowerLetter"/>
      <w:start w:val="13"/>
    </w:lvl>
  </w:abstractNum>
  <w:abstractNum w:abstractNumId="149">
    <w:nsid w:val="230F856C"/>
    <w:multiLevelType w:val="hybridMultilevel"/>
    <w:lvl w:ilvl="0">
      <w:lvlJc w:val="left"/>
      <w:lvlText w:val="​"/>
      <w:numFmt w:val="bullet"/>
      <w:start w:val="1"/>
    </w:lvl>
  </w:abstractNum>
  <w:abstractNum w:abstractNumId="150">
    <w:nsid w:val="6EAA85FB"/>
    <w:multiLevelType w:val="hybridMultilevel"/>
    <w:lvl w:ilvl="0">
      <w:lvlJc w:val="left"/>
      <w:lvlText w:val="•"/>
      <w:numFmt w:val="bullet"/>
      <w:start w:val="1"/>
    </w:lvl>
  </w:abstractNum>
  <w:abstractNum w:abstractNumId="151">
    <w:nsid w:val="3F06ECB2"/>
    <w:multiLevelType w:val="hybridMultilevel"/>
    <w:lvl w:ilvl="0">
      <w:lvlJc w:val="left"/>
      <w:lvlText w:val="•"/>
      <w:numFmt w:val="bullet"/>
      <w:start w:val="1"/>
    </w:lvl>
  </w:abstractNum>
  <w:abstractNum w:abstractNumId="152">
    <w:nsid w:val="3B594807"/>
    <w:multiLevelType w:val="hybridMultilevel"/>
    <w:lvl w:ilvl="0">
      <w:lvlJc w:val="left"/>
      <w:lvlText w:val="%1."/>
      <w:numFmt w:val="decimal"/>
      <w:start w:val="6"/>
    </w:lvl>
  </w:abstractNum>
  <w:abstractNum w:abstractNumId="153">
    <w:nsid w:val="6CAA2304"/>
    <w:multiLevelType w:val="hybridMultilevel"/>
    <w:lvl w:ilvl="0">
      <w:lvlJc w:val="left"/>
      <w:lvlText w:val="​"/>
      <w:numFmt w:val="bullet"/>
      <w:start w:val="1"/>
    </w:lvl>
  </w:abstractNum>
  <w:abstractNum w:abstractNumId="154">
    <w:nsid w:val="3F7C2FF4"/>
    <w:multiLevelType w:val="hybridMultilevel"/>
    <w:lvl w:ilvl="0">
      <w:lvlJc w:val="left"/>
      <w:lvlText w:val="​"/>
      <w:numFmt w:val="bullet"/>
      <w:start w:val="1"/>
    </w:lvl>
  </w:abstractNum>
  <w:abstractNum w:abstractNumId="155">
    <w:nsid w:val="25413BEC"/>
    <w:multiLevelType w:val="hybridMultilevel"/>
    <w:lvl w:ilvl="0">
      <w:lvlJc w:val="left"/>
      <w:lvlText w:val="(%1)"/>
      <w:numFmt w:val="lowerRoman"/>
      <w:start w:val="1"/>
    </w:lvl>
  </w:abstractNum>
  <w:abstractNum w:abstractNumId="156">
    <w:nsid w:val="17180B0B"/>
    <w:multiLevelType w:val="hybridMultilevel"/>
    <w:lvl w:ilvl="0">
      <w:lvlJc w:val="left"/>
      <w:lvlText w:val="(%1)"/>
      <w:numFmt w:val="lowerRoman"/>
      <w:start w:val="1"/>
    </w:lvl>
  </w:abstractNum>
  <w:abstractNum w:abstractNumId="157">
    <w:nsid w:val="579328B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2025-04-18T08:15:22Z</dcterms:created>
  <dcterms:modified xsi:type="dcterms:W3CDTF">2025-04-18T08:15:22Z</dcterms:modified>
</cp:coreProperties>
</file>