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Wang Yi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3"/>
        <w:gridCol w:w="772"/>
        <w:gridCol w:w="600"/>
        <w:gridCol w:w="352"/>
        <w:gridCol w:w="857"/>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the RSUs become fully vested on December 15, 2026.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Yi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614"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3348</Characters>
  <CharactersWithSpaces>3897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