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71" w:type="dxa"/>
        <w:jc w:val="left"/>
        <w:tblInd w:w="0" w:type="dxa"/>
        <w:tblLayout w:type="fixed"/>
        <w:tblCellMar>
          <w:top w:w="28" w:type="dxa"/>
          <w:left w:w="28" w:type="dxa"/>
          <w:bottom w:w="28" w:type="dxa"/>
          <w:right w:w="28" w:type="dxa"/>
        </w:tblCellMar>
      </w:tblPr>
      <w:tblGrid>
        <w:gridCol w:w="5971"/>
      </w:tblGrid>
      <w:tr>
        <w:trPr/>
        <w:tc>
          <w:tcPr>
            <w:tcW w:w="5971"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71"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left"/>
              <w:rPr/>
            </w:pPr>
            <w:r>
              <w:rPr/>
              <w:t xml:space="preserve">UNDER THE SECURITIES EXCHANGE ACT OF 1934 </w:t>
            </w:r>
          </w:p>
        </w:tc>
      </w:tr>
      <w:tr>
        <w:trPr/>
        <w:tc>
          <w:tcPr>
            <w:tcW w:w="5971"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Chagee Holdings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Class A Ordinary Shares, par value US$0.0001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71"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71"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Fosun International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HONG KONG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5,848,854.00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5,848,854.00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5,848,854.00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Rows 6, 8 and 9: Number of shares is number of Class A ordinary shares, par value US$0.0001 per share ("Class A Ordinary Shares"), in the form of American depositary shares ("ADSs") of Chagee Holdings Limited (the "Issuer") held directly by Wuxi Forba Tea Enterprise Management Partnership (Limited Partnership), a subsidiary of Fosun International Limited. Row 11: This percentage is calculated based on 125,489,219 Class A Ordinary Shares of the Issuer outstanding as of March 18, 2026, as reported in the Issuer's Form 20-F filed with the Securities and Exchange Commission ("SEC") on April 29, 2026. Note: There is no CUSIP number assigned to the Class A Ordinary Shares of the Issuer. CUSIP number 15743P104 has been assigned to the ADSs of the Issuer. Each ADS represents one Class A Ordinary Share.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Beijing Fosun Chuangfu Information Consulting Co., Ltd.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5,848,854.00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5,848,854.00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5,848,854.00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Rows 6, 8 and 9: Number of shares is number of Class A Ordinary Shares in the form of ADSs of the Issuer held directly by Wuxi Forba Tea Enterprise Management Partnership (Limited Partnership) of which Beijing Fosun Chuangfu Information Consulting Co., Ltd. is the general partner. Row 11: This percentage is calculated based on 125,489,219 Class A Ordinary Shares of the Issuer outstanding as of March 18, 2026, as reported in the Issuer's Form 20-F filed with the SEC on April 29, 2026. Note: There is no CUSIP number assigned to the Class A Ordinary Shares of the Issuer. CUSIP number 15743P104 has been assigned to the ADSs of the Issuer. Each ADS represents one Class A Ordinary Share.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Wuxi Forba Tea Enterprise Management Partnership (Limited Partnership)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5,848,854.00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5,848,854.00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5,848,854.00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Rows 6, 8 and 9: Number of shares is number of Class A Ordinary Shares in the form of ADSs of the Issuer held directly by Wuxi Forba Tea Enterprise Management Partnership (Limited Partnership). Row 11: This percentage is calculated based on 125,489,219 Class A Ordinary Shares of the Issuer outstanding as of March 18, 2026, as reported in the Issuer's Form 20-F filed with the SEC on April 29, 2026. Note: There is no CUSIP number assigned to the Class A Ordinary Shares of the Issuer. CUSIP number 15743P104 has been assigned to the ADSs of the Issuer. Each ADS represents one Class A Ordinary Share.</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4"/>
        <w:gridCol w:w="8181"/>
      </w:tblGrid>
      <w:tr>
        <w:trPr/>
        <w:tc>
          <w:tcPr>
            <w:tcW w:w="2024" w:type="dxa"/>
            <w:tcBorders/>
            <w:vAlign w:val="center"/>
          </w:tcPr>
          <w:p>
            <w:pPr>
              <w:pStyle w:val="TableContents"/>
              <w:bidi w:val="0"/>
              <w:spacing w:before="0" w:after="283"/>
              <w:jc w:val="left"/>
              <w:rPr/>
            </w:pPr>
            <w:r>
              <w:rPr/>
              <w:t>1</w:t>
            </w:r>
          </w:p>
        </w:tc>
        <w:tc>
          <w:tcPr>
            <w:tcW w:w="818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Fidelidade - Companhia de Seguros, S.A.</w:t>
            </w:r>
          </w:p>
        </w:tc>
      </w:tr>
      <w:tr>
        <w:trPr/>
        <w:tc>
          <w:tcPr>
            <w:tcW w:w="2024" w:type="dxa"/>
            <w:tcBorders/>
            <w:vAlign w:val="center"/>
          </w:tcPr>
          <w:p>
            <w:pPr>
              <w:pStyle w:val="TableContents"/>
              <w:bidi w:val="0"/>
              <w:spacing w:before="0" w:after="283"/>
              <w:jc w:val="left"/>
              <w:rPr/>
            </w:pPr>
            <w:r>
              <w:rPr/>
              <w:t>2</w:t>
            </w:r>
          </w:p>
        </w:tc>
        <w:tc>
          <w:tcPr>
            <w:tcW w:w="818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4" w:type="dxa"/>
            <w:tcBorders/>
            <w:vAlign w:val="center"/>
          </w:tcPr>
          <w:p>
            <w:pPr>
              <w:pStyle w:val="TableContents"/>
              <w:bidi w:val="0"/>
              <w:spacing w:before="0" w:after="283"/>
              <w:jc w:val="left"/>
              <w:rPr/>
            </w:pPr>
            <w:r>
              <w:rPr/>
              <w:t>3</w:t>
            </w:r>
          </w:p>
        </w:tc>
        <w:tc>
          <w:tcPr>
            <w:tcW w:w="8181" w:type="dxa"/>
            <w:tcBorders/>
            <w:vAlign w:val="center"/>
          </w:tcPr>
          <w:p>
            <w:pPr>
              <w:pStyle w:val="TableContents"/>
              <w:bidi w:val="0"/>
              <w:spacing w:before="0" w:after="283"/>
              <w:jc w:val="left"/>
              <w:rPr/>
            </w:pPr>
            <w:r>
              <w:rPr/>
              <w:t>Sec Use Only</w:t>
            </w:r>
          </w:p>
        </w:tc>
      </w:tr>
      <w:tr>
        <w:trPr/>
        <w:tc>
          <w:tcPr>
            <w:tcW w:w="2024" w:type="dxa"/>
            <w:tcBorders/>
            <w:vAlign w:val="center"/>
          </w:tcPr>
          <w:p>
            <w:pPr>
              <w:pStyle w:val="TableContents"/>
              <w:bidi w:val="0"/>
              <w:spacing w:before="0" w:after="283"/>
              <w:jc w:val="left"/>
              <w:rPr/>
            </w:pPr>
            <w:r>
              <w:rPr/>
              <w:t>4</w:t>
            </w:r>
          </w:p>
        </w:tc>
        <w:tc>
          <w:tcPr>
            <w:tcW w:w="818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PORTUGAL </w:t>
            </w:r>
          </w:p>
        </w:tc>
      </w:tr>
      <w:tr>
        <w:trPr/>
        <w:tc>
          <w:tcPr>
            <w:tcW w:w="202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1" w:type="dxa"/>
            <w:tcBorders/>
            <w:vAlign w:val="center"/>
          </w:tcPr>
          <w:p>
            <w:pPr>
              <w:pStyle w:val="TableContents"/>
              <w:bidi w:val="0"/>
              <w:spacing w:before="0" w:after="283"/>
              <w:jc w:val="left"/>
              <w:rPr>
                <w:sz w:val="4"/>
                <w:szCs w:val="4"/>
              </w:rPr>
            </w:pPr>
            <w:r>
              <w:rPr>
                <w:sz w:val="4"/>
                <w:szCs w:val="4"/>
              </w:rPr>
            </w:r>
          </w:p>
        </w:tc>
      </w:tr>
      <w:tr>
        <w:trPr/>
        <w:tc>
          <w:tcPr>
            <w:tcW w:w="2024" w:type="dxa"/>
            <w:tcBorders/>
            <w:vAlign w:val="center"/>
          </w:tcPr>
          <w:p>
            <w:pPr>
              <w:pStyle w:val="TableContents"/>
              <w:bidi w:val="0"/>
              <w:spacing w:before="0" w:after="283"/>
              <w:jc w:val="left"/>
              <w:rPr/>
            </w:pPr>
            <w:r>
              <w:rPr/>
              <w:t>9</w:t>
            </w:r>
          </w:p>
        </w:tc>
        <w:tc>
          <w:tcPr>
            <w:tcW w:w="818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4" w:type="dxa"/>
            <w:tcBorders/>
            <w:vAlign w:val="center"/>
          </w:tcPr>
          <w:p>
            <w:pPr>
              <w:pStyle w:val="TableContents"/>
              <w:bidi w:val="0"/>
              <w:spacing w:before="0" w:after="283"/>
              <w:jc w:val="left"/>
              <w:rPr/>
            </w:pPr>
            <w:r>
              <w:rPr/>
              <w:t>10</w:t>
            </w:r>
          </w:p>
        </w:tc>
        <w:tc>
          <w:tcPr>
            <w:tcW w:w="818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4" w:type="dxa"/>
            <w:tcBorders/>
            <w:vAlign w:val="center"/>
          </w:tcPr>
          <w:p>
            <w:pPr>
              <w:pStyle w:val="TableContents"/>
              <w:bidi w:val="0"/>
              <w:spacing w:before="0" w:after="283"/>
              <w:jc w:val="left"/>
              <w:rPr/>
            </w:pPr>
            <w:r>
              <w:rPr/>
              <w:t>11</w:t>
            </w:r>
          </w:p>
        </w:tc>
        <w:tc>
          <w:tcPr>
            <w:tcW w:w="818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0.00 % </w:t>
            </w:r>
          </w:p>
        </w:tc>
      </w:tr>
      <w:tr>
        <w:trPr/>
        <w:tc>
          <w:tcPr>
            <w:tcW w:w="2024" w:type="dxa"/>
            <w:tcBorders/>
            <w:vAlign w:val="center"/>
          </w:tcPr>
          <w:p>
            <w:pPr>
              <w:pStyle w:val="TableContents"/>
              <w:bidi w:val="0"/>
              <w:spacing w:before="0" w:after="283"/>
              <w:jc w:val="left"/>
              <w:rPr/>
            </w:pPr>
            <w:r>
              <w:rPr/>
              <w:t>12</w:t>
            </w:r>
          </w:p>
        </w:tc>
        <w:tc>
          <w:tcPr>
            <w:tcW w:w="818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45"/>
        <w:gridCol w:w="8905"/>
        <w:gridCol w:w="155"/>
      </w:tblGrid>
      <w:tr>
        <w:trPr/>
        <w:tc>
          <w:tcPr>
            <w:tcW w:w="1145" w:type="dxa"/>
            <w:tcBorders/>
            <w:vAlign w:val="center"/>
          </w:tcPr>
          <w:p>
            <w:pPr>
              <w:pStyle w:val="TableContents"/>
              <w:bidi w:val="0"/>
              <w:spacing w:before="0" w:after="283"/>
              <w:jc w:val="left"/>
              <w:rPr/>
            </w:pPr>
            <w:r>
              <w:rPr/>
              <w:t>Item 1.</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issuer: </w:t>
            </w:r>
          </w:p>
          <w:p>
            <w:pPr>
              <w:pStyle w:val="TableContents"/>
              <w:bidi w:val="0"/>
              <w:spacing w:before="0" w:after="0"/>
              <w:jc w:val="left"/>
              <w:rPr/>
            </w:pPr>
            <w:r>
              <w:rPr/>
              <w:t>Chagee Holdings Ltd.</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Tower B, Hongqiao Lianhe Building No. 99 Kaihong Road, Changning District Shanghai, F4 200051</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2.</w:t>
            </w:r>
          </w:p>
        </w:tc>
        <w:tc>
          <w:tcPr>
            <w:tcW w:w="890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filed by Fosun International Limited ("Fosun International"), a company organized under the laws of the Hong Kong Special Administrative Region ("Hong Kong") of the People's Republic of China (the "PRC"), Beijing Fosun Chuangfu Information Consulting Co., Ltd. ("Beijing Chuangfu"), a company established under the laws of the PRC with limited liability, Wuxi Forba Tea Enterprise Management Partnership (Limited Partnership) ("Wuxi Forba"), a limited partnership established under the laws of the PRC, and Fidelidade - Companhia de Seguros, S.A. ("Fidelidade", together with Fosun International, Beijing Chuangfu and Wuxi Forba, the "Reporting Persons"), a company organized under the laws of Portugal. Each of Beijing Chuangfu, Wuxi Forba and Fidelidade is a subsidiary of Fosun International. Beijing Chuangfu is the general partner of Wuxi Forba.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for Fosun International is Room 808, ICBC Tower, 3 Garden Road, Central, Hong Kong. The address of the principal business office for Beijing Chuangfu is 17th Floor, 600 Zhongshan No. 2 Road (E), Huangpu District, Shanghai, PRC. The address of the principal business office for Wuxi Forba is 40 Renmin South Road, Luoshe Town, Huishan District, Wuxi City, Jiangsu Province, PRC. The address of the principal business office for Fidelidade is Largo do Calhariz, 30, Lisbon, Portugal.</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jc w:val="left"/>
              <w:rPr/>
            </w:pPr>
            <w:r>
              <w:rPr/>
              <w:t xml:space="preserve">Citizenship: </w:t>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US$0.0001 per share</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3.</w:t>
            </w:r>
          </w:p>
        </w:tc>
        <w:tc>
          <w:tcPr>
            <w:tcW w:w="890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(d)</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(e)</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(f)</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(g)</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(h)</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(j)</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(k)</w:t>
            </w:r>
          </w:p>
        </w:tc>
        <w:tc>
          <w:tcPr>
            <w:tcW w:w="890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9060" w:type="dxa"/>
            <w:gridSpan w:val="2"/>
            <w:tcBorders/>
            <w:vAlign w:val="center"/>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4.</w:t>
            </w:r>
          </w:p>
        </w:tc>
        <w:tc>
          <w:tcPr>
            <w:tcW w:w="890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(a)</w:t>
            </w:r>
          </w:p>
        </w:tc>
        <w:tc>
          <w:tcPr>
            <w:tcW w:w="890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the cover pages to this Schedule 13G for the aggregate number of Class A Ordinary Shares (in the form of ADSs) that are beneficially owned by each Reporting Person as of June 30, 2026.</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(b)</w:t>
            </w:r>
          </w:p>
        </w:tc>
        <w:tc>
          <w:tcPr>
            <w:tcW w:w="890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the cover pages to this Schedule 13G for the percentage of Class A Ordinary Shares (in the form of ADSs) that are beneficially owned by each Reporting Person as of June 30, 2026.  %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(c)</w:t>
            </w:r>
          </w:p>
        </w:tc>
        <w:tc>
          <w:tcPr>
            <w:tcW w:w="890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the cover pages to this Schedule 13G for the number of Class A Ordinary Shares (in the form of ADSs) that are beneficially owned by each Reporting Person as of June 30, 2026 as to which there is sole power to vote or direct the vote.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the cover pages to this Schedule 13G for the number of Class A Ordinary Shares (in the form of ADSs) that are beneficially owned by each Reporting Person as of June 30, 2026 as to which there is shared power to vote or direct the vote.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the cover pages to this Schedule 13G for the number of Class A Ordinary Shares (in the form of ADSs) that are beneficially owned by each Reporting Person as of June 30, 2026 as to which there is sole power to dispose or direct the disposition.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the cover pages to this Schedule 13G for the number of Class A Ordinary Shares (in the form of ADSs) that are beneficially owned by each Reporting Person as of June 30, 2026 as to which there is shared power to dispose or direct the disposition.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5.</w:t>
            </w:r>
          </w:p>
        </w:tc>
        <w:tc>
          <w:tcPr>
            <w:tcW w:w="890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6.</w:t>
            </w:r>
          </w:p>
        </w:tc>
        <w:tc>
          <w:tcPr>
            <w:tcW w:w="890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7.</w:t>
            </w:r>
          </w:p>
        </w:tc>
        <w:tc>
          <w:tcPr>
            <w:tcW w:w="890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8.</w:t>
            </w:r>
          </w:p>
        </w:tc>
        <w:tc>
          <w:tcPr>
            <w:tcW w:w="890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2</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Item 9.</w:t>
            </w:r>
          </w:p>
        </w:tc>
        <w:tc>
          <w:tcPr>
            <w:tcW w:w="890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5" w:type="dxa"/>
            <w:tcBorders/>
            <w:vAlign w:val="center"/>
          </w:tcPr>
          <w:p>
            <w:pPr>
              <w:pStyle w:val="TableContents"/>
              <w:bidi w:val="0"/>
              <w:spacing w:before="0" w:after="283"/>
              <w:jc w:val="left"/>
              <w:rPr/>
            </w:pPr>
            <w:r>
              <w:rPr/>
              <w:t> </w:t>
            </w:r>
          </w:p>
        </w:tc>
        <w:tc>
          <w:tcPr>
            <w:tcW w:w="890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Fosun International Limited</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JIANG Nan</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JIANG Nan/Company Secretary</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89"/>
        <w:gridCol w:w="5016"/>
      </w:tblGrid>
      <w:tr>
        <w:trPr/>
        <w:tc>
          <w:tcPr>
            <w:tcW w:w="5189" w:type="dxa"/>
            <w:tcBorders/>
            <w:vAlign w:val="center"/>
          </w:tcPr>
          <w:p>
            <w:pPr>
              <w:pStyle w:val="TableContents"/>
              <w:bidi w:val="0"/>
              <w:spacing w:before="0" w:after="0"/>
              <w:jc w:val="left"/>
              <w:rPr/>
            </w:pPr>
            <w:r>
              <w:rPr/>
              <w:t> </w:t>
            </w:r>
          </w:p>
          <w:tbl>
            <w:tblPr>
              <w:tblW w:w="5686" w:type="dxa"/>
              <w:jc w:val="left"/>
              <w:tblInd w:w="0" w:type="dxa"/>
              <w:tblLayout w:type="fixed"/>
              <w:tblCellMar>
                <w:top w:w="28" w:type="dxa"/>
                <w:left w:w="28" w:type="dxa"/>
                <w:bottom w:w="28" w:type="dxa"/>
                <w:right w:w="28" w:type="dxa"/>
              </w:tblCellMar>
            </w:tblPr>
            <w:tblGrid>
              <w:gridCol w:w="5686"/>
            </w:tblGrid>
            <w:tr>
              <w:trPr/>
              <w:tc>
                <w:tcPr>
                  <w:tcW w:w="5686" w:type="dxa"/>
                  <w:tcBorders/>
                  <w:vAlign w:val="center"/>
                </w:tcPr>
                <w:p>
                  <w:pPr>
                    <w:pStyle w:val="TableContents"/>
                    <w:bidi w:val="0"/>
                    <w:spacing w:before="0" w:after="0"/>
                    <w:jc w:val="left"/>
                    <w:rPr/>
                  </w:pPr>
                  <w:r>
                    <w:rPr/>
                    <w:t>Beijing Fosun Chuangfu Information Consulting Co., Ltd.</w:t>
                  </w:r>
                </w:p>
              </w:tc>
            </w:tr>
          </w:tbl>
          <w:p>
            <w:pPr>
              <w:pStyle w:val="TableContents"/>
              <w:bidi w:val="0"/>
              <w:spacing w:before="0" w:after="283"/>
              <w:jc w:val="left"/>
              <w:rPr/>
            </w:pPr>
            <w:r>
              <w:rPr/>
            </w:r>
          </w:p>
        </w:tc>
        <w:tc>
          <w:tcPr>
            <w:tcW w:w="50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CONG Yonggang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CONG Yonggang/Executive Director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33"/>
        <w:gridCol w:w="4872"/>
      </w:tblGrid>
      <w:tr>
        <w:trPr/>
        <w:tc>
          <w:tcPr>
            <w:tcW w:w="5333" w:type="dxa"/>
            <w:tcBorders/>
            <w:vAlign w:val="center"/>
          </w:tcPr>
          <w:p>
            <w:pPr>
              <w:pStyle w:val="TableContents"/>
              <w:bidi w:val="0"/>
              <w:spacing w:before="0" w:after="0"/>
              <w:jc w:val="left"/>
              <w:rPr/>
            </w:pPr>
            <w:r>
              <w:rPr/>
              <w:t> </w:t>
            </w:r>
          </w:p>
          <w:tbl>
            <w:tblPr>
              <w:tblW w:w="7231" w:type="dxa"/>
              <w:jc w:val="left"/>
              <w:tblInd w:w="0" w:type="dxa"/>
              <w:tblLayout w:type="fixed"/>
              <w:tblCellMar>
                <w:top w:w="28" w:type="dxa"/>
                <w:left w:w="28" w:type="dxa"/>
                <w:bottom w:w="28" w:type="dxa"/>
                <w:right w:w="28" w:type="dxa"/>
              </w:tblCellMar>
            </w:tblPr>
            <w:tblGrid>
              <w:gridCol w:w="7231"/>
            </w:tblGrid>
            <w:tr>
              <w:trPr/>
              <w:tc>
                <w:tcPr>
                  <w:tcW w:w="7231" w:type="dxa"/>
                  <w:tcBorders/>
                  <w:vAlign w:val="center"/>
                </w:tcPr>
                <w:p>
                  <w:pPr>
                    <w:pStyle w:val="TableContents"/>
                    <w:bidi w:val="0"/>
                    <w:spacing w:before="0" w:after="0"/>
                    <w:jc w:val="left"/>
                    <w:rPr/>
                  </w:pPr>
                  <w:r>
                    <w:rPr/>
                    <w:t>Wuxi Forba Tea Enterprise Management Partnership (Limited Partnership)</w:t>
                  </w:r>
                </w:p>
              </w:tc>
            </w:tr>
          </w:tbl>
          <w:p>
            <w:pPr>
              <w:pStyle w:val="TableContents"/>
              <w:bidi w:val="0"/>
              <w:spacing w:before="0" w:after="283"/>
              <w:jc w:val="left"/>
              <w:rPr/>
            </w:pPr>
            <w:r>
              <w:rPr/>
            </w:r>
          </w:p>
        </w:tc>
        <w:tc>
          <w:tcPr>
            <w:tcW w:w="487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3"/>
        <w:gridCol w:w="4282"/>
      </w:tblGrid>
      <w:tr>
        <w:trPr/>
        <w:tc>
          <w:tcPr>
            <w:tcW w:w="59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5"/>
              <w:gridCol w:w="9050"/>
            </w:tblGrid>
            <w:tr>
              <w:trPr/>
              <w:tc>
                <w:tcPr>
                  <w:tcW w:w="1155" w:type="dxa"/>
                  <w:tcBorders/>
                  <w:vAlign w:val="center"/>
                </w:tcPr>
                <w:p>
                  <w:pPr>
                    <w:pStyle w:val="TableContents"/>
                    <w:bidi w:val="0"/>
                    <w:spacing w:before="0" w:after="283"/>
                    <w:jc w:val="left"/>
                    <w:rPr/>
                  </w:pPr>
                  <w:r>
                    <w:rPr/>
                    <w:t>Signature:</w:t>
                  </w:r>
                </w:p>
              </w:tc>
              <w:tc>
                <w:tcPr>
                  <w:tcW w:w="9050" w:type="dxa"/>
                  <w:tcBorders/>
                  <w:vAlign w:val="center"/>
                </w:tcPr>
                <w:p>
                  <w:pPr>
                    <w:pStyle w:val="TableContents"/>
                    <w:bidi w:val="0"/>
                    <w:spacing w:before="0" w:after="283"/>
                    <w:jc w:val="left"/>
                    <w:rPr/>
                  </w:pPr>
                  <w:r>
                    <w:rPr/>
                    <w:t>/s/ CONG Yonggang</w:t>
                  </w:r>
                </w:p>
              </w:tc>
            </w:tr>
            <w:tr>
              <w:trPr/>
              <w:tc>
                <w:tcPr>
                  <w:tcW w:w="1155" w:type="dxa"/>
                  <w:tcBorders/>
                  <w:vAlign w:val="center"/>
                </w:tcPr>
                <w:p>
                  <w:pPr>
                    <w:pStyle w:val="TableContents"/>
                    <w:bidi w:val="0"/>
                    <w:spacing w:before="0" w:after="283"/>
                    <w:jc w:val="left"/>
                    <w:rPr/>
                  </w:pPr>
                  <w:r>
                    <w:rPr/>
                    <w:t>Name/Title:</w:t>
                  </w:r>
                </w:p>
              </w:tc>
              <w:tc>
                <w:tcPr>
                  <w:tcW w:w="9050" w:type="dxa"/>
                  <w:tcBorders/>
                  <w:vAlign w:val="center"/>
                </w:tcPr>
                <w:p>
                  <w:pPr>
                    <w:pStyle w:val="TableContents"/>
                    <w:bidi w:val="0"/>
                    <w:spacing w:before="0" w:after="283"/>
                    <w:jc w:val="left"/>
                    <w:rPr/>
                  </w:pPr>
                  <w:r>
                    <w:rPr/>
                    <w:t>By Beijing Fosun Chuangfu Information Consulting Co., Ltd., its general partner, by CONG Yonggang/Executive Director</w:t>
                  </w:r>
                </w:p>
              </w:tc>
            </w:tr>
            <w:tr>
              <w:trPr/>
              <w:tc>
                <w:tcPr>
                  <w:tcW w:w="1155" w:type="dxa"/>
                  <w:tcBorders/>
                  <w:vAlign w:val="center"/>
                </w:tcPr>
                <w:p>
                  <w:pPr>
                    <w:pStyle w:val="TableContents"/>
                    <w:bidi w:val="0"/>
                    <w:spacing w:before="0" w:after="283"/>
                    <w:jc w:val="left"/>
                    <w:rPr/>
                  </w:pPr>
                  <w:r>
                    <w:rPr/>
                    <w:t>Date:</w:t>
                  </w:r>
                </w:p>
              </w:tc>
              <w:tc>
                <w:tcPr>
                  <w:tcW w:w="9050"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282" w:type="dxa"/>
            <w:tcBorders/>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4280"/>
        <w:gridCol w:w="4280"/>
      </w:tblGrid>
      <w:tr>
        <w:trPr/>
        <w:tc>
          <w:tcPr>
            <w:tcW w:w="4280" w:type="dxa"/>
            <w:tcBorders/>
            <w:vAlign w:val="center"/>
          </w:tcPr>
          <w:p>
            <w:pPr>
              <w:pStyle w:val="TableContents"/>
              <w:bidi w:val="0"/>
              <w:spacing w:before="0" w:after="0"/>
              <w:jc w:val="left"/>
              <w:rPr/>
            </w:pPr>
            <w:r>
              <w:rPr/>
              <w:t> </w:t>
            </w:r>
          </w:p>
          <w:tbl>
            <w:tblPr>
              <w:tblW w:w="4111" w:type="dxa"/>
              <w:jc w:val="left"/>
              <w:tblInd w:w="0" w:type="dxa"/>
              <w:tblLayout w:type="fixed"/>
              <w:tblCellMar>
                <w:top w:w="28" w:type="dxa"/>
                <w:left w:w="28" w:type="dxa"/>
                <w:bottom w:w="28" w:type="dxa"/>
                <w:right w:w="28" w:type="dxa"/>
              </w:tblCellMar>
            </w:tblPr>
            <w:tblGrid>
              <w:gridCol w:w="4111"/>
            </w:tblGrid>
            <w:tr>
              <w:trPr/>
              <w:tc>
                <w:tcPr>
                  <w:tcW w:w="4111" w:type="dxa"/>
                  <w:tcBorders/>
                  <w:vAlign w:val="center"/>
                </w:tcPr>
                <w:p>
                  <w:pPr>
                    <w:pStyle w:val="TableContents"/>
                    <w:bidi w:val="0"/>
                    <w:spacing w:before="0" w:after="0"/>
                    <w:jc w:val="left"/>
                    <w:rPr/>
                  </w:pPr>
                  <w:r>
                    <w:rPr/>
                    <w:t>Fidelidade - Companhia de Seguros, S.A.</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DONG Sijie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DONG Sijie/Chief Investment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 Joint Filing Agreement, dated February 12, 2026, by and among Fosun International Limited, Beijing Fosun Chuangfu Information Consulting Co., Ltd., Wuxi Forba Tea Enterprise Management Partnership (Limited Partnership) and Fidelidade - Companhia de Seguros, S.A. (incorporated by reference to Exhibit 99.1 to that certain Schedule 13G filed on February 12, 2026 by the Reporting Persons with the Securities and Exchange Commission).</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2043</Words>
  <Characters>10449</Characters>
  <CharactersWithSpaces>12426</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