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alibri" w:cs="Calibri" w:eastAsia="Calibri" w:hAnsi="Calibri"/>
          <w:sz w:val="11"/>
          <w:szCs w:val="11"/>
          <w:color w:val="003366"/>
        </w:rPr>
        <w:t>TABLE OF CONTENTS</w:t>
      </w:r>
    </w:p>
    <w:p>
      <w:pPr>
        <w:spacing w:after="0" w:line="3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June 5, 2026</w:t>
      </w:r>
    </w:p>
    <w:p>
      <w:pPr>
        <w:spacing w:after="0" w:line="43" w:lineRule="exact"/>
        <w:rPr>
          <w:sz w:val="24"/>
          <w:szCs w:val="24"/>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Registration No. 333-              ​</w:t>
      </w:r>
    </w:p>
    <w:p>
      <w:pPr>
        <w:spacing w:after="0" w:line="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417830</wp:posOffset>
            </wp:positionH>
            <wp:positionV relativeFrom="paragraph">
              <wp:posOffset>1905</wp:posOffset>
            </wp:positionV>
            <wp:extent cx="488442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84420" cy="13335"/>
                    </a:xfrm>
                    <a:prstGeom prst="rect">
                      <a:avLst/>
                    </a:prstGeom>
                    <a:noFill/>
                  </pic:spPr>
                </pic:pic>
              </a:graphicData>
            </a:graphic>
          </wp:anchor>
        </w:drawing>
        <w:drawing>
          <wp:anchor simplePos="0" relativeHeight="251657728" behindDoc="1" locked="0" layoutInCell="0" allowOverlap="1">
            <wp:simplePos x="0" y="0"/>
            <wp:positionH relativeFrom="column">
              <wp:posOffset>417830</wp:posOffset>
            </wp:positionH>
            <wp:positionV relativeFrom="paragraph">
              <wp:posOffset>35560</wp:posOffset>
            </wp:positionV>
            <wp:extent cx="48844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84420" cy="6985"/>
                    </a:xfrm>
                    <a:prstGeom prst="rect">
                      <a:avLst/>
                    </a:prstGeom>
                    <a:noFill/>
                  </pic:spPr>
                </pic:pic>
              </a:graphicData>
            </a:graphic>
          </wp:anchor>
        </w:drawing>
      </w:r>
    </w:p>
    <w:p>
      <w:pPr>
        <w:spacing w:after="0" w:line="1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2375535</wp:posOffset>
            </wp:positionH>
            <wp:positionV relativeFrom="paragraph">
              <wp:posOffset>63500</wp:posOffset>
            </wp:positionV>
            <wp:extent cx="9753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75360" cy="6985"/>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F-3</w:t>
      </w:r>
    </w:p>
    <w:p>
      <w:pPr>
        <w:spacing w:after="0" w:line="30"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3"/>
          <w:szCs w:val="13"/>
          <w:b w:val="1"/>
          <w:bCs w:val="1"/>
          <w:color w:val="auto"/>
        </w:rPr>
        <w:t>REGISTRATION STATEMENT</w:t>
      </w:r>
    </w:p>
    <w:p>
      <w:pPr>
        <w:ind w:left="4260"/>
        <w:spacing w:after="0" w:line="222" w:lineRule="auto"/>
        <w:rPr>
          <w:sz w:val="20"/>
          <w:szCs w:val="20"/>
          <w:color w:val="auto"/>
        </w:rPr>
      </w:pPr>
      <w:r>
        <w:rPr>
          <w:rFonts w:ascii="Times New Roman" w:cs="Times New Roman" w:eastAsia="Times New Roman" w:hAnsi="Times New Roman"/>
          <w:sz w:val="13"/>
          <w:szCs w:val="13"/>
          <w:b w:val="1"/>
          <w:bCs w:val="1"/>
          <w:color w:val="auto"/>
        </w:rPr>
        <w:t>UNDER</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2375535</wp:posOffset>
            </wp:positionH>
            <wp:positionV relativeFrom="paragraph">
              <wp:posOffset>59055</wp:posOffset>
            </wp:positionV>
            <wp:extent cx="9753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75360" cy="6985"/>
                    </a:xfrm>
                    <a:prstGeom prst="rect">
                      <a:avLst/>
                    </a:prstGeom>
                    <a:noFill/>
                  </pic:spPr>
                </pic:pic>
              </a:graphicData>
            </a:graphic>
          </wp:anchor>
        </w:drawing>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Chagee Holdings Limited</w:t>
      </w:r>
    </w:p>
    <w:p>
      <w:pPr>
        <w:jc w:val="center"/>
        <w:ind w:right="-20"/>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r>
        <w:rPr>
          <w:rFonts w:ascii="Times New Roman" w:cs="Times New Roman" w:eastAsia="Times New Roman" w:hAnsi="Times New Roman"/>
          <w:sz w:val="12"/>
          <w:szCs w:val="12"/>
          <w:color w:val="auto"/>
        </w:rPr>
        <w:t>​</w:t>
      </w:r>
    </w:p>
    <w:p>
      <w:pPr>
        <w:spacing w:after="0" w:line="33" w:lineRule="exact"/>
        <w:rPr>
          <w:sz w:val="24"/>
          <w:szCs w:val="24"/>
          <w:color w:val="auto"/>
        </w:rPr>
      </w:pPr>
    </w:p>
    <w:tbl>
      <w:tblPr>
        <w:tblLayout w:type="fixed"/>
        <w:tblInd w:w="660" w:type="dxa"/>
        <w:tblCellMar>
          <w:top w:w="0" w:type="dxa"/>
          <w:left w:w="0" w:type="dxa"/>
          <w:bottom w:w="0" w:type="dxa"/>
          <w:right w:w="0" w:type="dxa"/>
        </w:tblCellMar>
      </w:tblPr>
      <w:tr>
        <w:trPr>
          <w:trHeight w:val="161"/>
        </w:trPr>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2560" w:type="dxa"/>
            <w:vAlign w:val="bottom"/>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w w:val="92"/>
              </w:rPr>
              <w:t>Cayman Islands</w:t>
            </w:r>
          </w:p>
        </w:tc>
        <w:tc>
          <w:tcPr>
            <w:tcW w:w="240" w:type="dxa"/>
            <w:vAlign w:val="bottom"/>
          </w:tcPr>
          <w:p>
            <w:pPr>
              <w:spacing w:after="0"/>
              <w:rPr>
                <w:sz w:val="13"/>
                <w:szCs w:val="13"/>
                <w:color w:val="auto"/>
              </w:rPr>
            </w:pPr>
          </w:p>
        </w:tc>
        <w:tc>
          <w:tcPr>
            <w:tcW w:w="1260" w:type="dxa"/>
            <w:vAlign w:val="bottom"/>
          </w:tcPr>
          <w:p>
            <w:pPr>
              <w:jc w:val="center"/>
              <w:ind w:left="217"/>
              <w:spacing w:after="0"/>
              <w:rPr>
                <w:sz w:val="20"/>
                <w:szCs w:val="20"/>
                <w:color w:val="auto"/>
              </w:rPr>
            </w:pPr>
            <w:r>
              <w:rPr>
                <w:rFonts w:ascii="Times New Roman" w:cs="Times New Roman" w:eastAsia="Times New Roman" w:hAnsi="Times New Roman"/>
                <w:sz w:val="11"/>
                <w:szCs w:val="11"/>
                <w:color w:val="auto"/>
              </w:rPr>
              <w:t>​ ​</w:t>
            </w:r>
          </w:p>
        </w:tc>
        <w:tc>
          <w:tcPr>
            <w:tcW w:w="280" w:type="dxa"/>
            <w:vAlign w:val="bottom"/>
          </w:tcPr>
          <w:p>
            <w:pPr>
              <w:spacing w:after="0"/>
              <w:rPr>
                <w:sz w:val="13"/>
                <w:szCs w:val="13"/>
                <w:color w:val="auto"/>
              </w:rPr>
            </w:pPr>
          </w:p>
        </w:tc>
        <w:tc>
          <w:tcPr>
            <w:tcW w:w="25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3"/>
              </w:rPr>
              <w:t>Not Applicable</w:t>
            </w:r>
          </w:p>
        </w:tc>
        <w:tc>
          <w:tcPr>
            <w:tcW w:w="56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w:t>
            </w:r>
          </w:p>
        </w:tc>
      </w:tr>
      <w:tr>
        <w:trPr>
          <w:trHeight w:val="118"/>
        </w:trPr>
        <w:tc>
          <w:tcPr>
            <w:tcW w:w="280" w:type="dxa"/>
            <w:vAlign w:val="bottom"/>
          </w:tcPr>
          <w:p>
            <w:pPr>
              <w:spacing w:after="0"/>
              <w:rPr>
                <w:sz w:val="10"/>
                <w:szCs w:val="10"/>
                <w:color w:val="auto"/>
              </w:rPr>
            </w:pPr>
          </w:p>
        </w:tc>
        <w:tc>
          <w:tcPr>
            <w:tcW w:w="2560" w:type="dxa"/>
            <w:vAlign w:val="bottom"/>
          </w:tcPr>
          <w:p>
            <w:pPr>
              <w:jc w:val="center"/>
              <w:ind w:left="536"/>
              <w:spacing w:after="0" w:line="118" w:lineRule="exact"/>
              <w:rPr>
                <w:sz w:val="20"/>
                <w:szCs w:val="20"/>
                <w:color w:val="auto"/>
              </w:rPr>
            </w:pPr>
            <w:r>
              <w:rPr>
                <w:rFonts w:ascii="Times New Roman" w:cs="Times New Roman" w:eastAsia="Times New Roman" w:hAnsi="Times New Roman"/>
                <w:sz w:val="11"/>
                <w:szCs w:val="11"/>
                <w:color w:val="auto"/>
              </w:rPr>
              <w:t>(State or other Jurisdiction of</w:t>
            </w: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540" w:type="dxa"/>
            <w:vAlign w:val="bottom"/>
          </w:tcPr>
          <w:p>
            <w:pPr>
              <w:jc w:val="center"/>
              <w:ind w:right="155"/>
              <w:spacing w:after="0" w:line="118" w:lineRule="exact"/>
              <w:rPr>
                <w:sz w:val="20"/>
                <w:szCs w:val="20"/>
                <w:color w:val="auto"/>
              </w:rPr>
            </w:pPr>
            <w:r>
              <w:rPr>
                <w:rFonts w:ascii="Times New Roman" w:cs="Times New Roman" w:eastAsia="Times New Roman" w:hAnsi="Times New Roman"/>
                <w:sz w:val="11"/>
                <w:szCs w:val="11"/>
                <w:color w:val="auto"/>
              </w:rPr>
              <w:t>(I.R.S. Employer</w:t>
            </w:r>
          </w:p>
        </w:tc>
        <w:tc>
          <w:tcPr>
            <w:tcW w:w="560" w:type="dxa"/>
            <w:vAlign w:val="bottom"/>
          </w:tcPr>
          <w:p>
            <w:pPr>
              <w:spacing w:after="0"/>
              <w:rPr>
                <w:sz w:val="10"/>
                <w:szCs w:val="10"/>
                <w:color w:val="auto"/>
              </w:rPr>
            </w:pPr>
          </w:p>
        </w:tc>
      </w:tr>
      <w:tr>
        <w:trPr>
          <w:trHeight w:val="174"/>
        </w:trPr>
        <w:tc>
          <w:tcPr>
            <w:tcW w:w="280" w:type="dxa"/>
            <w:vAlign w:val="bottom"/>
          </w:tcPr>
          <w:p>
            <w:pPr>
              <w:spacing w:after="0"/>
              <w:rPr>
                <w:sz w:val="15"/>
                <w:szCs w:val="15"/>
                <w:color w:val="auto"/>
              </w:rPr>
            </w:pPr>
          </w:p>
        </w:tc>
        <w:tc>
          <w:tcPr>
            <w:tcW w:w="2560" w:type="dxa"/>
            <w:vAlign w:val="bottom"/>
          </w:tcPr>
          <w:p>
            <w:pPr>
              <w:jc w:val="center"/>
              <w:ind w:left="596"/>
              <w:spacing w:after="0"/>
              <w:rPr>
                <w:sz w:val="20"/>
                <w:szCs w:val="20"/>
                <w:color w:val="auto"/>
              </w:rPr>
            </w:pPr>
            <w:r>
              <w:rPr>
                <w:rFonts w:ascii="Times New Roman" w:cs="Times New Roman" w:eastAsia="Times New Roman" w:hAnsi="Times New Roman"/>
                <w:sz w:val="11"/>
                <w:szCs w:val="11"/>
                <w:color w:val="auto"/>
              </w:rPr>
              <w:t>Incorporation or Organization)</w:t>
            </w: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tcPr>
          <w:p>
            <w:pPr>
              <w:jc w:val="center"/>
              <w:ind w:right="115"/>
              <w:spacing w:after="0"/>
              <w:rPr>
                <w:sz w:val="20"/>
                <w:szCs w:val="20"/>
                <w:color w:val="auto"/>
              </w:rPr>
            </w:pPr>
            <w:r>
              <w:rPr>
                <w:rFonts w:ascii="Times New Roman" w:cs="Times New Roman" w:eastAsia="Times New Roman" w:hAnsi="Times New Roman"/>
                <w:sz w:val="11"/>
                <w:szCs w:val="11"/>
                <w:color w:val="auto"/>
              </w:rPr>
              <w:t>Identification No.)</w:t>
            </w:r>
          </w:p>
        </w:tc>
        <w:tc>
          <w:tcPr>
            <w:tcW w:w="560" w:type="dxa"/>
            <w:vAlign w:val="bottom"/>
          </w:tcPr>
          <w:p>
            <w:pPr>
              <w:spacing w:after="0"/>
              <w:rPr>
                <w:sz w:val="15"/>
                <w:szCs w:val="15"/>
                <w:color w:val="auto"/>
              </w:rPr>
            </w:pPr>
          </w:p>
        </w:tc>
      </w:tr>
      <w:tr>
        <w:trPr>
          <w:trHeight w:val="214"/>
        </w:trPr>
        <w:tc>
          <w:tcPr>
            <w:tcW w:w="2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320" w:type="dxa"/>
            <w:vAlign w:val="bottom"/>
            <w:gridSpan w:val="4"/>
          </w:tcPr>
          <w:p>
            <w:pPr>
              <w:jc w:val="center"/>
              <w:ind w:right="2275"/>
              <w:spacing w:after="0"/>
              <w:rPr>
                <w:sz w:val="20"/>
                <w:szCs w:val="20"/>
                <w:color w:val="auto"/>
              </w:rPr>
            </w:pPr>
            <w:r>
              <w:rPr>
                <w:rFonts w:ascii="Times New Roman" w:cs="Times New Roman" w:eastAsia="Times New Roman" w:hAnsi="Times New Roman"/>
                <w:sz w:val="13"/>
                <w:szCs w:val="13"/>
                <w:b w:val="1"/>
                <w:bCs w:val="1"/>
                <w:color w:val="auto"/>
                <w:w w:val="94"/>
              </w:rPr>
              <w:t>Tower B, Hongqiao Lianhe Building,</w:t>
            </w:r>
          </w:p>
        </w:tc>
        <w:tc>
          <w:tcPr>
            <w:tcW w:w="560" w:type="dxa"/>
            <w:vAlign w:val="bottom"/>
          </w:tcPr>
          <w:p>
            <w:pPr>
              <w:spacing w:after="0"/>
              <w:rPr>
                <w:sz w:val="18"/>
                <w:szCs w:val="18"/>
                <w:color w:val="auto"/>
              </w:rPr>
            </w:pPr>
          </w:p>
        </w:tc>
      </w:tr>
      <w:tr>
        <w:trPr>
          <w:trHeight w:val="139"/>
        </w:trPr>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80" w:type="dxa"/>
            <w:vAlign w:val="bottom"/>
            <w:gridSpan w:val="3"/>
          </w:tcPr>
          <w:p>
            <w:pPr>
              <w:jc w:val="center"/>
              <w:ind w:right="2515"/>
              <w:spacing w:after="0" w:line="139" w:lineRule="exact"/>
              <w:rPr>
                <w:sz w:val="20"/>
                <w:szCs w:val="20"/>
                <w:color w:val="auto"/>
              </w:rPr>
            </w:pPr>
            <w:r>
              <w:rPr>
                <w:rFonts w:ascii="Times New Roman" w:cs="Times New Roman" w:eastAsia="Times New Roman" w:hAnsi="Times New Roman"/>
                <w:sz w:val="13"/>
                <w:szCs w:val="13"/>
                <w:b w:val="1"/>
                <w:bCs w:val="1"/>
                <w:color w:val="auto"/>
                <w:w w:val="95"/>
              </w:rPr>
              <w:t>No.99 Kaihong Road,</w:t>
            </w:r>
          </w:p>
        </w:tc>
        <w:tc>
          <w:tcPr>
            <w:tcW w:w="560" w:type="dxa"/>
            <w:vAlign w:val="bottom"/>
          </w:tcPr>
          <w:p>
            <w:pPr>
              <w:spacing w:after="0"/>
              <w:rPr>
                <w:sz w:val="12"/>
                <w:szCs w:val="12"/>
                <w:color w:val="auto"/>
              </w:rPr>
            </w:pPr>
          </w:p>
        </w:tc>
      </w:tr>
      <w:tr>
        <w:trPr>
          <w:trHeight w:val="139"/>
        </w:trPr>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320" w:type="dxa"/>
            <w:vAlign w:val="bottom"/>
            <w:gridSpan w:val="4"/>
          </w:tcPr>
          <w:p>
            <w:pPr>
              <w:jc w:val="center"/>
              <w:ind w:right="2275"/>
              <w:spacing w:after="0" w:line="139" w:lineRule="exact"/>
              <w:rPr>
                <w:sz w:val="20"/>
                <w:szCs w:val="20"/>
                <w:color w:val="auto"/>
              </w:rPr>
            </w:pPr>
            <w:r>
              <w:rPr>
                <w:rFonts w:ascii="Times New Roman" w:cs="Times New Roman" w:eastAsia="Times New Roman" w:hAnsi="Times New Roman"/>
                <w:sz w:val="13"/>
                <w:szCs w:val="13"/>
                <w:b w:val="1"/>
                <w:bCs w:val="1"/>
                <w:color w:val="auto"/>
                <w:w w:val="93"/>
              </w:rPr>
              <w:t>Changning District, Shanghai</w:t>
            </w:r>
          </w:p>
        </w:tc>
        <w:tc>
          <w:tcPr>
            <w:tcW w:w="560" w:type="dxa"/>
            <w:vAlign w:val="bottom"/>
          </w:tcPr>
          <w:p>
            <w:pPr>
              <w:spacing w:after="0"/>
              <w:rPr>
                <w:sz w:val="12"/>
                <w:szCs w:val="12"/>
                <w:color w:val="auto"/>
              </w:rPr>
            </w:pPr>
          </w:p>
        </w:tc>
      </w:tr>
      <w:tr>
        <w:trPr>
          <w:trHeight w:val="149"/>
        </w:trPr>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320" w:type="dxa"/>
            <w:vAlign w:val="bottom"/>
            <w:gridSpan w:val="4"/>
          </w:tcPr>
          <w:p>
            <w:pPr>
              <w:jc w:val="center"/>
              <w:ind w:right="2275"/>
              <w:spacing w:after="0"/>
              <w:rPr>
                <w:sz w:val="20"/>
                <w:szCs w:val="20"/>
                <w:color w:val="auto"/>
              </w:rPr>
            </w:pPr>
            <w:r>
              <w:rPr>
                <w:rFonts w:ascii="Times New Roman" w:cs="Times New Roman" w:eastAsia="Times New Roman" w:hAnsi="Times New Roman"/>
                <w:sz w:val="13"/>
                <w:szCs w:val="13"/>
                <w:b w:val="1"/>
                <w:bCs w:val="1"/>
                <w:color w:val="auto"/>
                <w:w w:val="93"/>
              </w:rPr>
              <w:t>People’s Republic of China, 20051</w:t>
            </w:r>
          </w:p>
        </w:tc>
        <w:tc>
          <w:tcPr>
            <w:tcW w:w="560" w:type="dxa"/>
            <w:vAlign w:val="bottom"/>
          </w:tcPr>
          <w:p>
            <w:pPr>
              <w:spacing w:after="0"/>
              <w:rPr>
                <w:sz w:val="12"/>
                <w:szCs w:val="12"/>
                <w:color w:val="auto"/>
              </w:rPr>
            </w:pPr>
          </w:p>
        </w:tc>
      </w:tr>
      <w:tr>
        <w:trPr>
          <w:trHeight w:val="162"/>
        </w:trPr>
        <w:tc>
          <w:tcPr>
            <w:tcW w:w="2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+86 186 8893 0014</w:t>
            </w:r>
          </w:p>
        </w:tc>
        <w:tc>
          <w:tcPr>
            <w:tcW w:w="2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80" w:type="dxa"/>
            <w:vAlign w:val="bottom"/>
          </w:tcPr>
          <w:p>
            <w:pPr>
              <w:spacing w:after="0"/>
              <w:rPr>
                <w:sz w:val="14"/>
                <w:szCs w:val="14"/>
                <w:color w:val="auto"/>
              </w:rPr>
            </w:pPr>
          </w:p>
        </w:tc>
        <w:tc>
          <w:tcPr>
            <w:tcW w:w="6880" w:type="dxa"/>
            <w:vAlign w:val="bottom"/>
            <w:gridSpan w:val="5"/>
          </w:tcPr>
          <w:p>
            <w:pPr>
              <w:jc w:val="center"/>
              <w:ind w:left="216"/>
              <w:spacing w:after="0"/>
              <w:rPr>
                <w:sz w:val="20"/>
                <w:szCs w:val="20"/>
                <w:color w:val="auto"/>
              </w:rPr>
            </w:pPr>
            <w:r>
              <w:rPr>
                <w:rFonts w:ascii="Times New Roman" w:cs="Times New Roman" w:eastAsia="Times New Roman" w:hAnsi="Times New Roman"/>
                <w:sz w:val="11"/>
                <w:szCs w:val="11"/>
                <w:color w:val="auto"/>
              </w:rPr>
              <w:t>(Address and telephone number of registrant’s principal executive offices)</w:t>
            </w:r>
            <w:r>
              <w:rPr>
                <w:rFonts w:ascii="Times New Roman" w:cs="Times New Roman" w:eastAsia="Times New Roman" w:hAnsi="Times New Roman"/>
                <w:sz w:val="12"/>
                <w:szCs w:val="12"/>
                <w:color w:val="auto"/>
              </w:rPr>
              <w:t>​</w:t>
            </w:r>
          </w:p>
        </w:tc>
        <w:tc>
          <w:tcPr>
            <w:tcW w:w="560" w:type="dxa"/>
            <w:vAlign w:val="bottom"/>
          </w:tcPr>
          <w:p>
            <w:pPr>
              <w:spacing w:after="0"/>
              <w:rPr>
                <w:sz w:val="14"/>
                <w:szCs w:val="14"/>
                <w:color w:val="auto"/>
              </w:rPr>
            </w:pPr>
          </w:p>
        </w:tc>
      </w:tr>
      <w:tr>
        <w:trPr>
          <w:trHeight w:val="111"/>
        </w:trPr>
        <w:tc>
          <w:tcPr>
            <w:tcW w:w="2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tcBorders>
              <w:bottom w:val="single" w:sz="8" w:color="auto"/>
            </w:tcBorders>
            <w:gridSpan w:val="2"/>
          </w:tcPr>
          <w:p>
            <w:pPr>
              <w:spacing w:after="0"/>
              <w:rPr>
                <w:sz w:val="9"/>
                <w:szCs w:val="9"/>
                <w:color w:val="auto"/>
              </w:rPr>
            </w:pPr>
          </w:p>
        </w:tc>
        <w:tc>
          <w:tcPr>
            <w:tcW w:w="254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51"/>
        </w:trPr>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80" w:type="dxa"/>
            <w:vAlign w:val="bottom"/>
            <w:gridSpan w:val="3"/>
          </w:tcPr>
          <w:p>
            <w:pPr>
              <w:jc w:val="center"/>
              <w:ind w:right="2515"/>
              <w:spacing w:after="0"/>
              <w:rPr>
                <w:sz w:val="20"/>
                <w:szCs w:val="20"/>
                <w:color w:val="auto"/>
              </w:rPr>
            </w:pPr>
            <w:r>
              <w:rPr>
                <w:rFonts w:ascii="Times New Roman" w:cs="Times New Roman" w:eastAsia="Times New Roman" w:hAnsi="Times New Roman"/>
                <w:sz w:val="13"/>
                <w:szCs w:val="13"/>
                <w:b w:val="1"/>
                <w:bCs w:val="1"/>
                <w:color w:val="auto"/>
                <w:w w:val="93"/>
              </w:rPr>
              <w:t>Cogency Global Inc.</w:t>
            </w:r>
          </w:p>
        </w:tc>
        <w:tc>
          <w:tcPr>
            <w:tcW w:w="560" w:type="dxa"/>
            <w:vAlign w:val="bottom"/>
          </w:tcPr>
          <w:p>
            <w:pPr>
              <w:spacing w:after="0"/>
              <w:rPr>
                <w:sz w:val="13"/>
                <w:szCs w:val="13"/>
                <w:color w:val="auto"/>
              </w:rPr>
            </w:pPr>
          </w:p>
        </w:tc>
      </w:tr>
      <w:tr>
        <w:trPr>
          <w:trHeight w:val="158"/>
        </w:trPr>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50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2"/>
                <w:szCs w:val="12"/>
                <w:b w:val="1"/>
                <w:bCs w:val="1"/>
                <w:color w:val="auto"/>
                <w:w w:val="96"/>
              </w:rPr>
              <w:t>122 East 42</w:t>
            </w:r>
            <w:r>
              <w:rPr>
                <w:rFonts w:ascii="Times New Roman" w:cs="Times New Roman" w:eastAsia="Times New Roman" w:hAnsi="Times New Roman"/>
                <w:sz w:val="18"/>
                <w:szCs w:val="18"/>
                <w:b w:val="1"/>
                <w:bCs w:val="1"/>
                <w:color w:val="auto"/>
                <w:w w:val="96"/>
                <w:vertAlign w:val="superscript"/>
              </w:rPr>
              <w:t>nd</w:t>
            </w:r>
            <w:r>
              <w:rPr>
                <w:rFonts w:ascii="Times New Roman" w:cs="Times New Roman" w:eastAsia="Times New Roman" w:hAnsi="Times New Roman"/>
                <w:sz w:val="12"/>
                <w:szCs w:val="12"/>
                <w:b w:val="1"/>
                <w:bCs w:val="1"/>
                <w:color w:val="auto"/>
                <w:w w:val="96"/>
              </w:rPr>
              <w:t xml:space="preserve"> Street, 18</w:t>
            </w:r>
            <w:r>
              <w:rPr>
                <w:rFonts w:ascii="Times New Roman" w:cs="Times New Roman" w:eastAsia="Times New Roman" w:hAnsi="Times New Roman"/>
                <w:sz w:val="18"/>
                <w:szCs w:val="18"/>
                <w:b w:val="1"/>
                <w:bCs w:val="1"/>
                <w:color w:val="auto"/>
                <w:w w:val="96"/>
                <w:vertAlign w:val="superscript"/>
              </w:rPr>
              <w:t>th</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Floor</w:t>
            </w:r>
          </w:p>
        </w:tc>
        <w:tc>
          <w:tcPr>
            <w:tcW w:w="560" w:type="dxa"/>
            <w:vAlign w:val="bottom"/>
          </w:tcPr>
          <w:p>
            <w:pPr>
              <w:spacing w:after="0"/>
              <w:rPr>
                <w:sz w:val="13"/>
                <w:szCs w:val="13"/>
                <w:color w:val="auto"/>
              </w:rPr>
            </w:pPr>
          </w:p>
        </w:tc>
      </w:tr>
      <w:tr>
        <w:trPr>
          <w:trHeight w:val="149"/>
        </w:trPr>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80" w:type="dxa"/>
            <w:vAlign w:val="bottom"/>
            <w:gridSpan w:val="3"/>
          </w:tcPr>
          <w:p>
            <w:pPr>
              <w:jc w:val="center"/>
              <w:ind w:right="2515"/>
              <w:spacing w:after="0"/>
              <w:rPr>
                <w:sz w:val="20"/>
                <w:szCs w:val="20"/>
                <w:color w:val="auto"/>
              </w:rPr>
            </w:pPr>
            <w:r>
              <w:rPr>
                <w:rFonts w:ascii="Times New Roman" w:cs="Times New Roman" w:eastAsia="Times New Roman" w:hAnsi="Times New Roman"/>
                <w:sz w:val="13"/>
                <w:szCs w:val="13"/>
                <w:b w:val="1"/>
                <w:bCs w:val="1"/>
                <w:color w:val="auto"/>
                <w:w w:val="93"/>
              </w:rPr>
              <w:t>New York, New York 10168</w:t>
            </w:r>
          </w:p>
        </w:tc>
        <w:tc>
          <w:tcPr>
            <w:tcW w:w="560" w:type="dxa"/>
            <w:vAlign w:val="bottom"/>
          </w:tcPr>
          <w:p>
            <w:pPr>
              <w:spacing w:after="0"/>
              <w:rPr>
                <w:sz w:val="12"/>
                <w:szCs w:val="12"/>
                <w:color w:val="auto"/>
              </w:rPr>
            </w:pPr>
          </w:p>
        </w:tc>
      </w:tr>
      <w:tr>
        <w:trPr>
          <w:trHeight w:val="162"/>
        </w:trPr>
        <w:tc>
          <w:tcPr>
            <w:tcW w:w="2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+ 1 800-221-0102</w:t>
            </w:r>
          </w:p>
        </w:tc>
        <w:tc>
          <w:tcPr>
            <w:tcW w:w="2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80" w:type="dxa"/>
            <w:vAlign w:val="bottom"/>
          </w:tcPr>
          <w:p>
            <w:pPr>
              <w:spacing w:after="0"/>
              <w:rPr>
                <w:sz w:val="14"/>
                <w:szCs w:val="14"/>
                <w:color w:val="auto"/>
              </w:rPr>
            </w:pPr>
          </w:p>
        </w:tc>
        <w:tc>
          <w:tcPr>
            <w:tcW w:w="6880" w:type="dxa"/>
            <w:vAlign w:val="bottom"/>
            <w:gridSpan w:val="5"/>
          </w:tcPr>
          <w:p>
            <w:pPr>
              <w:jc w:val="center"/>
              <w:ind w:left="216"/>
              <w:spacing w:after="0"/>
              <w:rPr>
                <w:sz w:val="20"/>
                <w:szCs w:val="20"/>
                <w:color w:val="auto"/>
              </w:rPr>
            </w:pPr>
            <w:r>
              <w:rPr>
                <w:rFonts w:ascii="Times New Roman" w:cs="Times New Roman" w:eastAsia="Times New Roman" w:hAnsi="Times New Roman"/>
                <w:sz w:val="11"/>
                <w:szCs w:val="11"/>
                <w:color w:val="auto"/>
              </w:rPr>
              <w:t>(Name, address, and telephone number of agent for service)</w:t>
            </w:r>
            <w:r>
              <w:rPr>
                <w:rFonts w:ascii="Times New Roman" w:cs="Times New Roman" w:eastAsia="Times New Roman" w:hAnsi="Times New Roman"/>
                <w:sz w:val="12"/>
                <w:szCs w:val="12"/>
                <w:color w:val="auto"/>
              </w:rPr>
              <w:t>​</w:t>
            </w:r>
          </w:p>
        </w:tc>
        <w:tc>
          <w:tcPr>
            <w:tcW w:w="560" w:type="dxa"/>
            <w:vAlign w:val="bottom"/>
          </w:tcPr>
          <w:p>
            <w:pPr>
              <w:spacing w:after="0"/>
              <w:rPr>
                <w:sz w:val="14"/>
                <w:szCs w:val="14"/>
                <w:color w:val="auto"/>
              </w:rPr>
            </w:pPr>
          </w:p>
        </w:tc>
      </w:tr>
      <w:tr>
        <w:trPr>
          <w:trHeight w:val="111"/>
        </w:trPr>
        <w:tc>
          <w:tcPr>
            <w:tcW w:w="2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54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99"/>
        </w:trPr>
        <w:tc>
          <w:tcPr>
            <w:tcW w:w="2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2"/>
              </w:rPr>
              <w:t>Copies to:</w:t>
            </w:r>
          </w:p>
        </w:tc>
        <w:tc>
          <w:tcPr>
            <w:tcW w:w="2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65"/>
        </w:trPr>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60" w:type="dxa"/>
            <w:vAlign w:val="bottom"/>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w w:val="90"/>
              </w:rPr>
              <w:t>Mr. Junjie Zhang</w:t>
            </w:r>
          </w:p>
        </w:tc>
        <w:tc>
          <w:tcPr>
            <w:tcW w:w="240" w:type="dxa"/>
            <w:vAlign w:val="bottom"/>
          </w:tcPr>
          <w:p>
            <w:pPr>
              <w:spacing w:after="0"/>
              <w:rPr>
                <w:sz w:val="14"/>
                <w:szCs w:val="14"/>
                <w:color w:val="auto"/>
              </w:rPr>
            </w:pPr>
          </w:p>
        </w:tc>
        <w:tc>
          <w:tcPr>
            <w:tcW w:w="1260" w:type="dxa"/>
            <w:vAlign w:val="bottom"/>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 ​</w:t>
            </w:r>
          </w:p>
        </w:tc>
        <w:tc>
          <w:tcPr>
            <w:tcW w:w="280" w:type="dxa"/>
            <w:vAlign w:val="bottom"/>
          </w:tcPr>
          <w:p>
            <w:pPr>
              <w:spacing w:after="0"/>
              <w:rPr>
                <w:sz w:val="14"/>
                <w:szCs w:val="14"/>
                <w:color w:val="auto"/>
              </w:rPr>
            </w:pPr>
          </w:p>
        </w:tc>
        <w:tc>
          <w:tcPr>
            <w:tcW w:w="25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2"/>
              </w:rPr>
              <w:t>Li He, Esq.</w:t>
            </w:r>
          </w:p>
        </w:tc>
        <w:tc>
          <w:tcPr>
            <w:tcW w:w="5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28"/>
        </w:trPr>
        <w:tc>
          <w:tcPr>
            <w:tcW w:w="280" w:type="dxa"/>
            <w:vAlign w:val="bottom"/>
          </w:tcPr>
          <w:p>
            <w:pPr>
              <w:spacing w:after="0"/>
              <w:rPr>
                <w:sz w:val="11"/>
                <w:szCs w:val="11"/>
                <w:color w:val="auto"/>
              </w:rPr>
            </w:pPr>
          </w:p>
        </w:tc>
        <w:tc>
          <w:tcPr>
            <w:tcW w:w="4060" w:type="dxa"/>
            <w:vAlign w:val="bottom"/>
            <w:gridSpan w:val="3"/>
          </w:tcPr>
          <w:p>
            <w:pPr>
              <w:jc w:val="center"/>
              <w:ind w:right="837"/>
              <w:spacing w:after="0" w:line="129" w:lineRule="exact"/>
              <w:rPr>
                <w:sz w:val="20"/>
                <w:szCs w:val="20"/>
                <w:color w:val="auto"/>
              </w:rPr>
            </w:pPr>
            <w:r>
              <w:rPr>
                <w:rFonts w:ascii="Times New Roman" w:cs="Times New Roman" w:eastAsia="Times New Roman" w:hAnsi="Times New Roman"/>
                <w:sz w:val="14"/>
                <w:szCs w:val="14"/>
                <w:b w:val="1"/>
                <w:bCs w:val="1"/>
                <w:color w:val="auto"/>
                <w:w w:val="91"/>
              </w:rPr>
              <w:t>Chairman of the Board, Chief Executive Officer</w:t>
            </w:r>
          </w:p>
        </w:tc>
        <w:tc>
          <w:tcPr>
            <w:tcW w:w="280" w:type="dxa"/>
            <w:vAlign w:val="bottom"/>
          </w:tcPr>
          <w:p>
            <w:pPr>
              <w:spacing w:after="0"/>
              <w:rPr>
                <w:sz w:val="11"/>
                <w:szCs w:val="11"/>
                <w:color w:val="auto"/>
              </w:rPr>
            </w:pPr>
          </w:p>
        </w:tc>
        <w:tc>
          <w:tcPr>
            <w:tcW w:w="2540" w:type="dxa"/>
            <w:vAlign w:val="bottom"/>
          </w:tcPr>
          <w:p>
            <w:pPr>
              <w:jc w:val="center"/>
              <w:ind w:right="155"/>
              <w:spacing w:after="0" w:line="129" w:lineRule="exact"/>
              <w:rPr>
                <w:sz w:val="20"/>
                <w:szCs w:val="20"/>
                <w:color w:val="auto"/>
              </w:rPr>
            </w:pPr>
            <w:r>
              <w:rPr>
                <w:rFonts w:ascii="Times New Roman" w:cs="Times New Roman" w:eastAsia="Times New Roman" w:hAnsi="Times New Roman"/>
                <w:sz w:val="14"/>
                <w:szCs w:val="14"/>
                <w:b w:val="1"/>
                <w:bCs w:val="1"/>
                <w:color w:val="auto"/>
                <w:w w:val="92"/>
              </w:rPr>
              <w:t>Davis Polk &amp; Wardwell LLP</w:t>
            </w:r>
          </w:p>
        </w:tc>
        <w:tc>
          <w:tcPr>
            <w:tcW w:w="560" w:type="dxa"/>
            <w:vAlign w:val="bottom"/>
          </w:tcPr>
          <w:p>
            <w:pPr>
              <w:spacing w:after="0"/>
              <w:rPr>
                <w:sz w:val="11"/>
                <w:szCs w:val="11"/>
                <w:color w:val="auto"/>
              </w:rPr>
            </w:pPr>
          </w:p>
        </w:tc>
      </w:tr>
      <w:tr>
        <w:trPr>
          <w:trHeight w:val="139"/>
        </w:trPr>
        <w:tc>
          <w:tcPr>
            <w:tcW w:w="280" w:type="dxa"/>
            <w:vAlign w:val="bottom"/>
          </w:tcPr>
          <w:p>
            <w:pPr>
              <w:spacing w:after="0"/>
              <w:rPr>
                <w:sz w:val="12"/>
                <w:szCs w:val="12"/>
                <w:color w:val="auto"/>
              </w:rPr>
            </w:pPr>
          </w:p>
        </w:tc>
        <w:tc>
          <w:tcPr>
            <w:tcW w:w="2560" w:type="dxa"/>
            <w:vAlign w:val="bottom"/>
          </w:tcPr>
          <w:p>
            <w:pPr>
              <w:jc w:val="center"/>
              <w:ind w:left="536"/>
              <w:spacing w:after="0" w:line="139" w:lineRule="exact"/>
              <w:rPr>
                <w:sz w:val="20"/>
                <w:szCs w:val="20"/>
                <w:color w:val="auto"/>
              </w:rPr>
            </w:pPr>
            <w:r>
              <w:rPr>
                <w:rFonts w:ascii="Times New Roman" w:cs="Times New Roman" w:eastAsia="Times New Roman" w:hAnsi="Times New Roman"/>
                <w:sz w:val="14"/>
                <w:szCs w:val="14"/>
                <w:b w:val="1"/>
                <w:bCs w:val="1"/>
                <w:color w:val="auto"/>
                <w:w w:val="91"/>
              </w:rPr>
              <w:t>Chagee Holdings Limited</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40" w:type="dxa"/>
            <w:vAlign w:val="bottom"/>
          </w:tcPr>
          <w:p>
            <w:pPr>
              <w:jc w:val="center"/>
              <w:ind w:right="155"/>
              <w:spacing w:after="0" w:line="139" w:lineRule="exact"/>
              <w:rPr>
                <w:sz w:val="20"/>
                <w:szCs w:val="20"/>
                <w:color w:val="auto"/>
              </w:rPr>
            </w:pPr>
            <w:r>
              <w:rPr>
                <w:rFonts w:ascii="Times New Roman" w:cs="Times New Roman" w:eastAsia="Times New Roman" w:hAnsi="Times New Roman"/>
                <w:sz w:val="14"/>
                <w:szCs w:val="14"/>
                <w:b w:val="1"/>
                <w:bCs w:val="1"/>
                <w:color w:val="auto"/>
                <w:w w:val="91"/>
              </w:rPr>
              <w:t>c/o 10th Floor</w:t>
            </w:r>
          </w:p>
        </w:tc>
        <w:tc>
          <w:tcPr>
            <w:tcW w:w="560" w:type="dxa"/>
            <w:vAlign w:val="bottom"/>
          </w:tcPr>
          <w:p>
            <w:pPr>
              <w:spacing w:after="0"/>
              <w:rPr>
                <w:sz w:val="12"/>
                <w:szCs w:val="12"/>
                <w:color w:val="auto"/>
              </w:rPr>
            </w:pPr>
          </w:p>
        </w:tc>
      </w:tr>
      <w:tr>
        <w:trPr>
          <w:trHeight w:val="138"/>
        </w:trPr>
        <w:tc>
          <w:tcPr>
            <w:tcW w:w="280" w:type="dxa"/>
            <w:vAlign w:val="bottom"/>
          </w:tcPr>
          <w:p>
            <w:pPr>
              <w:spacing w:after="0"/>
              <w:rPr>
                <w:sz w:val="12"/>
                <w:szCs w:val="12"/>
                <w:color w:val="auto"/>
              </w:rPr>
            </w:pPr>
          </w:p>
        </w:tc>
        <w:tc>
          <w:tcPr>
            <w:tcW w:w="4060" w:type="dxa"/>
            <w:vAlign w:val="bottom"/>
            <w:gridSpan w:val="3"/>
          </w:tcPr>
          <w:p>
            <w:pPr>
              <w:jc w:val="center"/>
              <w:ind w:right="837"/>
              <w:spacing w:after="0" w:line="139" w:lineRule="exact"/>
              <w:rPr>
                <w:sz w:val="20"/>
                <w:szCs w:val="20"/>
                <w:color w:val="auto"/>
              </w:rPr>
            </w:pPr>
            <w:r>
              <w:rPr>
                <w:rFonts w:ascii="Times New Roman" w:cs="Times New Roman" w:eastAsia="Times New Roman" w:hAnsi="Times New Roman"/>
                <w:sz w:val="14"/>
                <w:szCs w:val="14"/>
                <w:b w:val="1"/>
                <w:bCs w:val="1"/>
                <w:color w:val="auto"/>
                <w:w w:val="92"/>
              </w:rPr>
              <w:t>Tower B, Hongqiao Lianhe Building,</w:t>
            </w:r>
          </w:p>
        </w:tc>
        <w:tc>
          <w:tcPr>
            <w:tcW w:w="280" w:type="dxa"/>
            <w:vAlign w:val="bottom"/>
          </w:tcPr>
          <w:p>
            <w:pPr>
              <w:spacing w:after="0"/>
              <w:rPr>
                <w:sz w:val="12"/>
                <w:szCs w:val="12"/>
                <w:color w:val="auto"/>
              </w:rPr>
            </w:pPr>
          </w:p>
        </w:tc>
        <w:tc>
          <w:tcPr>
            <w:tcW w:w="2540" w:type="dxa"/>
            <w:vAlign w:val="bottom"/>
          </w:tcPr>
          <w:p>
            <w:pPr>
              <w:jc w:val="center"/>
              <w:ind w:right="135"/>
              <w:spacing w:after="0" w:line="139" w:lineRule="exact"/>
              <w:rPr>
                <w:sz w:val="20"/>
                <w:szCs w:val="20"/>
                <w:color w:val="auto"/>
              </w:rPr>
            </w:pPr>
            <w:r>
              <w:rPr>
                <w:rFonts w:ascii="Times New Roman" w:cs="Times New Roman" w:eastAsia="Times New Roman" w:hAnsi="Times New Roman"/>
                <w:sz w:val="14"/>
                <w:szCs w:val="14"/>
                <w:b w:val="1"/>
                <w:bCs w:val="1"/>
                <w:color w:val="auto"/>
                <w:w w:val="92"/>
              </w:rPr>
              <w:t>The Hong Kong Club Building</w:t>
            </w:r>
          </w:p>
        </w:tc>
        <w:tc>
          <w:tcPr>
            <w:tcW w:w="560" w:type="dxa"/>
            <w:vAlign w:val="bottom"/>
          </w:tcPr>
          <w:p>
            <w:pPr>
              <w:spacing w:after="0"/>
              <w:rPr>
                <w:sz w:val="12"/>
                <w:szCs w:val="12"/>
                <w:color w:val="auto"/>
              </w:rPr>
            </w:pPr>
          </w:p>
        </w:tc>
      </w:tr>
      <w:tr>
        <w:trPr>
          <w:trHeight w:val="128"/>
        </w:trPr>
        <w:tc>
          <w:tcPr>
            <w:tcW w:w="280" w:type="dxa"/>
            <w:vAlign w:val="bottom"/>
          </w:tcPr>
          <w:p>
            <w:pPr>
              <w:spacing w:after="0"/>
              <w:rPr>
                <w:sz w:val="11"/>
                <w:szCs w:val="11"/>
                <w:color w:val="auto"/>
              </w:rPr>
            </w:pPr>
          </w:p>
        </w:tc>
        <w:tc>
          <w:tcPr>
            <w:tcW w:w="2560" w:type="dxa"/>
            <w:vAlign w:val="bottom"/>
          </w:tcPr>
          <w:p>
            <w:pPr>
              <w:jc w:val="center"/>
              <w:ind w:left="536"/>
              <w:spacing w:after="0" w:line="129" w:lineRule="exact"/>
              <w:rPr>
                <w:sz w:val="20"/>
                <w:szCs w:val="20"/>
                <w:color w:val="auto"/>
              </w:rPr>
            </w:pPr>
            <w:r>
              <w:rPr>
                <w:rFonts w:ascii="Times New Roman" w:cs="Times New Roman" w:eastAsia="Times New Roman" w:hAnsi="Times New Roman"/>
                <w:sz w:val="14"/>
                <w:szCs w:val="14"/>
                <w:b w:val="1"/>
                <w:bCs w:val="1"/>
                <w:color w:val="auto"/>
                <w:w w:val="93"/>
              </w:rPr>
              <w:t>No.99 Kaihong Road,</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40" w:type="dxa"/>
            <w:vAlign w:val="bottom"/>
          </w:tcPr>
          <w:p>
            <w:pPr>
              <w:jc w:val="center"/>
              <w:ind w:right="155"/>
              <w:spacing w:after="0" w:line="129" w:lineRule="exact"/>
              <w:rPr>
                <w:sz w:val="20"/>
                <w:szCs w:val="20"/>
                <w:color w:val="auto"/>
              </w:rPr>
            </w:pPr>
            <w:r>
              <w:rPr>
                <w:rFonts w:ascii="Times New Roman" w:cs="Times New Roman" w:eastAsia="Times New Roman" w:hAnsi="Times New Roman"/>
                <w:sz w:val="14"/>
                <w:szCs w:val="14"/>
                <w:b w:val="1"/>
                <w:bCs w:val="1"/>
                <w:color w:val="auto"/>
                <w:w w:val="92"/>
              </w:rPr>
              <w:t>3A Chater Road, Central</w:t>
            </w:r>
          </w:p>
        </w:tc>
        <w:tc>
          <w:tcPr>
            <w:tcW w:w="560" w:type="dxa"/>
            <w:vAlign w:val="bottom"/>
          </w:tcPr>
          <w:p>
            <w:pPr>
              <w:spacing w:after="0"/>
              <w:rPr>
                <w:sz w:val="11"/>
                <w:szCs w:val="11"/>
                <w:color w:val="auto"/>
              </w:rPr>
            </w:pPr>
          </w:p>
        </w:tc>
      </w:tr>
      <w:tr>
        <w:trPr>
          <w:trHeight w:val="139"/>
        </w:trPr>
        <w:tc>
          <w:tcPr>
            <w:tcW w:w="280" w:type="dxa"/>
            <w:vAlign w:val="bottom"/>
          </w:tcPr>
          <w:p>
            <w:pPr>
              <w:spacing w:after="0"/>
              <w:rPr>
                <w:sz w:val="12"/>
                <w:szCs w:val="12"/>
                <w:color w:val="auto"/>
              </w:rPr>
            </w:pPr>
          </w:p>
        </w:tc>
        <w:tc>
          <w:tcPr>
            <w:tcW w:w="2560" w:type="dxa"/>
            <w:vAlign w:val="bottom"/>
          </w:tcPr>
          <w:p>
            <w:pPr>
              <w:jc w:val="center"/>
              <w:ind w:left="536"/>
              <w:spacing w:after="0" w:line="139" w:lineRule="exact"/>
              <w:rPr>
                <w:sz w:val="20"/>
                <w:szCs w:val="20"/>
                <w:color w:val="auto"/>
              </w:rPr>
            </w:pPr>
            <w:r>
              <w:rPr>
                <w:rFonts w:ascii="Times New Roman" w:cs="Times New Roman" w:eastAsia="Times New Roman" w:hAnsi="Times New Roman"/>
                <w:sz w:val="14"/>
                <w:szCs w:val="14"/>
                <w:b w:val="1"/>
                <w:bCs w:val="1"/>
                <w:color w:val="auto"/>
                <w:w w:val="92"/>
              </w:rPr>
              <w:t>Changning District, Shanghai</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40" w:type="dxa"/>
            <w:vAlign w:val="bottom"/>
          </w:tcPr>
          <w:p>
            <w:pPr>
              <w:jc w:val="center"/>
              <w:ind w:right="155"/>
              <w:spacing w:after="0" w:line="139" w:lineRule="exact"/>
              <w:rPr>
                <w:sz w:val="20"/>
                <w:szCs w:val="20"/>
                <w:color w:val="auto"/>
              </w:rPr>
            </w:pPr>
            <w:r>
              <w:rPr>
                <w:rFonts w:ascii="Times New Roman" w:cs="Times New Roman" w:eastAsia="Times New Roman" w:hAnsi="Times New Roman"/>
                <w:sz w:val="14"/>
                <w:szCs w:val="14"/>
                <w:b w:val="1"/>
                <w:bCs w:val="1"/>
                <w:color w:val="auto"/>
                <w:w w:val="92"/>
              </w:rPr>
              <w:t>Hong Kong</w:t>
            </w:r>
          </w:p>
        </w:tc>
        <w:tc>
          <w:tcPr>
            <w:tcW w:w="560" w:type="dxa"/>
            <w:vAlign w:val="bottom"/>
          </w:tcPr>
          <w:p>
            <w:pPr>
              <w:spacing w:after="0"/>
              <w:rPr>
                <w:sz w:val="12"/>
                <w:szCs w:val="12"/>
                <w:color w:val="auto"/>
              </w:rPr>
            </w:pPr>
          </w:p>
        </w:tc>
      </w:tr>
      <w:tr>
        <w:trPr>
          <w:trHeight w:val="138"/>
        </w:trPr>
        <w:tc>
          <w:tcPr>
            <w:tcW w:w="280" w:type="dxa"/>
            <w:vAlign w:val="bottom"/>
          </w:tcPr>
          <w:p>
            <w:pPr>
              <w:spacing w:after="0"/>
              <w:rPr>
                <w:sz w:val="12"/>
                <w:szCs w:val="12"/>
                <w:color w:val="auto"/>
              </w:rPr>
            </w:pPr>
          </w:p>
        </w:tc>
        <w:tc>
          <w:tcPr>
            <w:tcW w:w="2560" w:type="dxa"/>
            <w:vAlign w:val="bottom"/>
          </w:tcPr>
          <w:p>
            <w:pPr>
              <w:jc w:val="center"/>
              <w:ind w:left="536"/>
              <w:spacing w:after="0" w:line="139" w:lineRule="exact"/>
              <w:rPr>
                <w:sz w:val="20"/>
                <w:szCs w:val="20"/>
                <w:color w:val="auto"/>
              </w:rPr>
            </w:pPr>
            <w:r>
              <w:rPr>
                <w:rFonts w:ascii="Times New Roman" w:cs="Times New Roman" w:eastAsia="Times New Roman" w:hAnsi="Times New Roman"/>
                <w:sz w:val="14"/>
                <w:szCs w:val="14"/>
                <w:b w:val="1"/>
                <w:bCs w:val="1"/>
                <w:color w:val="auto"/>
                <w:w w:val="92"/>
              </w:rPr>
              <w:t>People’s Republic of China, 20051</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20" w:type="dxa"/>
            <w:vAlign w:val="bottom"/>
            <w:gridSpan w:val="2"/>
          </w:tcPr>
          <w:p>
            <w:pPr>
              <w:jc w:val="center"/>
              <w:ind w:left="34"/>
              <w:spacing w:after="0" w:line="139" w:lineRule="exact"/>
              <w:rPr>
                <w:sz w:val="20"/>
                <w:szCs w:val="20"/>
                <w:color w:val="auto"/>
              </w:rPr>
            </w:pPr>
            <w:r>
              <w:rPr>
                <w:rFonts w:ascii="Times New Roman" w:cs="Times New Roman" w:eastAsia="Times New Roman" w:hAnsi="Times New Roman"/>
                <w:sz w:val="14"/>
                <w:szCs w:val="14"/>
                <w:b w:val="1"/>
                <w:bCs w:val="1"/>
                <w:color w:val="auto"/>
                <w:w w:val="93"/>
              </w:rPr>
              <w:t>+852-2533-3300</w:t>
            </w:r>
          </w:p>
        </w:tc>
        <w:tc>
          <w:tcPr>
            <w:tcW w:w="560" w:type="dxa"/>
            <w:vAlign w:val="bottom"/>
          </w:tcPr>
          <w:p>
            <w:pPr>
              <w:spacing w:after="0"/>
              <w:rPr>
                <w:sz w:val="12"/>
                <w:szCs w:val="12"/>
                <w:color w:val="auto"/>
              </w:rPr>
            </w:pPr>
          </w:p>
        </w:tc>
      </w:tr>
      <w:tr>
        <w:trPr>
          <w:trHeight w:val="178"/>
        </w:trPr>
        <w:tc>
          <w:tcPr>
            <w:tcW w:w="280" w:type="dxa"/>
            <w:vAlign w:val="bottom"/>
          </w:tcPr>
          <w:p>
            <w:pPr>
              <w:spacing w:after="0"/>
              <w:rPr>
                <w:sz w:val="15"/>
                <w:szCs w:val="15"/>
                <w:color w:val="auto"/>
              </w:rPr>
            </w:pPr>
          </w:p>
        </w:tc>
        <w:tc>
          <w:tcPr>
            <w:tcW w:w="2560" w:type="dxa"/>
            <w:vAlign w:val="bottom"/>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w w:val="93"/>
              </w:rPr>
              <w:t>+86 186 8893 0014</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5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2375535</wp:posOffset>
            </wp:positionH>
            <wp:positionV relativeFrom="paragraph">
              <wp:posOffset>83185</wp:posOffset>
            </wp:positionV>
            <wp:extent cx="9753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75360" cy="6985"/>
                    </a:xfrm>
                    <a:prstGeom prst="rect">
                      <a:avLst/>
                    </a:prstGeom>
                    <a:noFill/>
                  </pic:spPr>
                </pic:pic>
              </a:graphicData>
            </a:graphic>
          </wp:anchor>
        </w:drawing>
      </w:r>
    </w:p>
    <w:p>
      <w:pPr>
        <w:spacing w:after="0" w:line="194"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w:t>
      </w:r>
      <w:r>
        <w:rPr>
          <w:rFonts w:ascii="Times New Roman" w:cs="Times New Roman" w:eastAsia="Times New Roman" w:hAnsi="Times New Roman"/>
          <w:sz w:val="13"/>
          <w:szCs w:val="13"/>
          <w:color w:val="auto"/>
        </w:rPr>
        <w:t>: From time to time after this Registration Statement becomes effective.</w:t>
      </w:r>
    </w:p>
    <w:p>
      <w:pPr>
        <w:spacing w:after="0" w:line="34" w:lineRule="exact"/>
        <w:rPr>
          <w:sz w:val="24"/>
          <w:szCs w:val="24"/>
          <w:color w:val="auto"/>
        </w:rPr>
      </w:pPr>
    </w:p>
    <w:p>
      <w:pPr>
        <w:ind w:left="660" w:right="699" w:firstLine="284"/>
        <w:spacing w:after="0" w:line="168"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ind w:left="660" w:right="859" w:firstLine="284"/>
        <w:spacing w:after="0" w:line="153"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7" w:lineRule="exact"/>
        <w:rPr>
          <w:sz w:val="24"/>
          <w:szCs w:val="24"/>
          <w:color w:val="auto"/>
        </w:rPr>
      </w:pPr>
    </w:p>
    <w:p>
      <w:pPr>
        <w:ind w:left="660" w:right="779" w:firstLine="284"/>
        <w:spacing w:after="0" w:line="162"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660" w:right="879" w:firstLine="284"/>
        <w:spacing w:after="0" w:line="160"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7" w:lineRule="exact"/>
        <w:rPr>
          <w:sz w:val="24"/>
          <w:szCs w:val="24"/>
          <w:color w:val="auto"/>
        </w:rPr>
      </w:pPr>
    </w:p>
    <w:p>
      <w:pPr>
        <w:ind w:left="660" w:right="1019" w:firstLine="284"/>
        <w:spacing w:after="0" w:line="162"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660" w:right="699" w:firstLine="284"/>
        <w:spacing w:after="0" w:line="160"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18" w:lineRule="exact"/>
        <w:rPr>
          <w:sz w:val="24"/>
          <w:szCs w:val="24"/>
          <w:color w:val="auto"/>
        </w:rPr>
      </w:pPr>
    </w:p>
    <w:p>
      <w:pPr>
        <w:ind w:left="940" w:right="1039"/>
        <w:spacing w:after="0" w:line="18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3"/>
          <w:szCs w:val="13"/>
          <w:color w:val="auto"/>
        </w:rPr>
        <w:t>☐</w:t>
      </w:r>
    </w:p>
    <w:p>
      <w:pPr>
        <w:spacing w:after="0" w:line="1" w:lineRule="exact"/>
        <w:rPr>
          <w:sz w:val="24"/>
          <w:szCs w:val="24"/>
          <w:color w:val="auto"/>
        </w:rPr>
      </w:pPr>
    </w:p>
    <w:p>
      <w:pPr>
        <w:ind w:left="660" w:right="679" w:firstLine="284"/>
        <w:spacing w:after="0" w:line="157"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2375535</wp:posOffset>
            </wp:positionH>
            <wp:positionV relativeFrom="paragraph">
              <wp:posOffset>58420</wp:posOffset>
            </wp:positionV>
            <wp:extent cx="97536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75360" cy="6985"/>
                    </a:xfrm>
                    <a:prstGeom prst="rect">
                      <a:avLst/>
                    </a:prstGeom>
                    <a:noFill/>
                  </pic:spPr>
                </pic:pic>
              </a:graphicData>
            </a:graphic>
          </wp:anchor>
        </w:drawing>
        <w:drawing>
          <wp:anchor simplePos="0" relativeHeight="251657728" behindDoc="1" locked="0" layoutInCell="0" allowOverlap="1">
            <wp:simplePos x="0" y="0"/>
            <wp:positionH relativeFrom="column">
              <wp:posOffset>417830</wp:posOffset>
            </wp:positionH>
            <wp:positionV relativeFrom="paragraph">
              <wp:posOffset>167005</wp:posOffset>
            </wp:positionV>
            <wp:extent cx="97536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75360" cy="6985"/>
                    </a:xfrm>
                    <a:prstGeom prst="rect">
                      <a:avLst/>
                    </a:prstGeom>
                    <a:noFill/>
                  </pic:spPr>
                </pic:pic>
              </a:graphicData>
            </a:graphic>
          </wp:anchor>
        </w:drawing>
      </w:r>
    </w:p>
    <w:p>
      <w:pPr>
        <w:spacing w:after="0" w:line="290" w:lineRule="exact"/>
        <w:rPr>
          <w:sz w:val="24"/>
          <w:szCs w:val="24"/>
          <w:color w:val="auto"/>
        </w:rPr>
      </w:pPr>
    </w:p>
    <w:p>
      <w:pPr>
        <w:ind w:left="940" w:hanging="286"/>
        <w:spacing w:after="0"/>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w:t>
      </w:r>
    </w:p>
    <w:p>
      <w:pPr>
        <w:spacing w:after="0" w:line="12"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417830</wp:posOffset>
            </wp:positionH>
            <wp:positionV relativeFrom="paragraph">
              <wp:posOffset>28575</wp:posOffset>
            </wp:positionV>
            <wp:extent cx="488442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84420" cy="6985"/>
                    </a:xfrm>
                    <a:prstGeom prst="rect">
                      <a:avLst/>
                    </a:prstGeom>
                    <a:noFill/>
                  </pic:spPr>
                </pic:pic>
              </a:graphicData>
            </a:graphic>
          </wp:anchor>
        </w:drawing>
      </w:r>
    </w:p>
    <w:p>
      <w:pPr>
        <w:spacing w:after="0" w:line="4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417830</wp:posOffset>
            </wp:positionH>
            <wp:positionV relativeFrom="paragraph">
              <wp:posOffset>1905</wp:posOffset>
            </wp:positionV>
            <wp:extent cx="488442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84420" cy="13335"/>
                    </a:xfrm>
                    <a:prstGeom prst="rect">
                      <a:avLst/>
                    </a:prstGeom>
                    <a:noFill/>
                  </pic:spPr>
                </pic:pic>
              </a:graphicData>
            </a:graphic>
          </wp:anchor>
        </w:drawing>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92" w:right="1440" w:bottom="1440" w:gutter="0" w:footer="0" w:header="0"/>
        </w:sectPr>
      </w:pPr>
    </w:p>
    <w:bookmarkStart w:id="1" w:name="page2"/>
    <w:bookmarkEnd w:id="1"/>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CHAGEE HOLDINGS LIMITED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125095</wp:posOffset>
            </wp:positionV>
            <wp:extent cx="97536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75360" cy="6985"/>
                    </a:xfrm>
                    <a:prstGeom prst="rect">
                      <a:avLst/>
                    </a:prstGeom>
                    <a:noFill/>
                  </pic:spPr>
                </pic:pic>
              </a:graphicData>
            </a:graphic>
          </wp:anchor>
        </w:drawing>
      </w:r>
    </w:p>
    <w:p>
      <w:pPr>
        <w:spacing w:after="0" w:line="344" w:lineRule="exact"/>
        <w:rPr>
          <w:sz w:val="20"/>
          <w:szCs w:val="20"/>
          <w:color w:val="auto"/>
        </w:rPr>
      </w:pPr>
    </w:p>
    <w:p>
      <w:pPr>
        <w:ind w:left="1260" w:right="1879" w:firstLine="284"/>
        <w:spacing w:after="0" w:line="289" w:lineRule="auto"/>
        <w:rPr>
          <w:sz w:val="20"/>
          <w:szCs w:val="20"/>
          <w:color w:val="auto"/>
        </w:rPr>
      </w:pPr>
      <w:r>
        <w:rPr>
          <w:rFonts w:ascii="Times New Roman" w:cs="Times New Roman" w:eastAsia="Times New Roman" w:hAnsi="Times New Roman"/>
          <w:sz w:val="14"/>
          <w:szCs w:val="14"/>
          <w:color w:val="auto"/>
        </w:rPr>
        <w:t>We may from time to time in one or more offerings offer and sell our Class A ordinary shares, including Class A ordinary shares represented by American depositary shares, or ADSs.</w:t>
      </w:r>
    </w:p>
    <w:p>
      <w:pPr>
        <w:spacing w:after="0" w:line="60" w:lineRule="exact"/>
        <w:rPr>
          <w:sz w:val="20"/>
          <w:szCs w:val="20"/>
          <w:color w:val="auto"/>
        </w:rPr>
      </w:pPr>
    </w:p>
    <w:p>
      <w:pPr>
        <w:ind w:left="1260" w:right="1299" w:firstLine="284"/>
        <w:spacing w:after="0" w:line="263" w:lineRule="auto"/>
        <w:rPr>
          <w:sz w:val="20"/>
          <w:szCs w:val="20"/>
          <w:color w:val="auto"/>
        </w:rPr>
      </w:pPr>
      <w:r>
        <w:rPr>
          <w:rFonts w:ascii="Times New Roman" w:cs="Times New Roman" w:eastAsia="Times New Roman" w:hAnsi="Times New Roman"/>
          <w:sz w:val="14"/>
          <w:szCs w:val="14"/>
          <w:color w:val="auto"/>
        </w:rPr>
        <w:t>In addition, from time to time, the selling shareholders (if any) to be named in a prospectus supplement may offer and sell our Class A ordinary shares or ADSs held by them. The selling shareholders (if any) may sell our Class A ordinary shares or ADSs through public or private transactions at prevailing market prices or at privately negotiated prices. We will not receive any proceeds from the sale of ordinary shares by selling shareholders (if any).</w:t>
      </w:r>
    </w:p>
    <w:p>
      <w:pPr>
        <w:spacing w:after="0" w:line="89" w:lineRule="exact"/>
        <w:rPr>
          <w:sz w:val="20"/>
          <w:szCs w:val="20"/>
          <w:color w:val="auto"/>
        </w:rPr>
      </w:pPr>
    </w:p>
    <w:p>
      <w:pPr>
        <w:ind w:left="1260" w:right="1359" w:firstLine="284"/>
        <w:spacing w:after="0" w:line="264" w:lineRule="auto"/>
        <w:rPr>
          <w:sz w:val="20"/>
          <w:szCs w:val="20"/>
          <w:color w:val="auto"/>
        </w:rPr>
      </w:pPr>
      <w:r>
        <w:rPr>
          <w:rFonts w:ascii="Times New Roman" w:cs="Times New Roman" w:eastAsia="Times New Roman" w:hAnsi="Times New Roman"/>
          <w:sz w:val="14"/>
          <w:szCs w:val="14"/>
          <w:color w:val="auto"/>
        </w:rPr>
        <w:t>We will provide specific terms of any offering in a supplement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spacing w:after="0" w:line="252" w:lineRule="exact"/>
        <w:rPr>
          <w:sz w:val="20"/>
          <w:szCs w:val="20"/>
          <w:color w:val="auto"/>
        </w:rPr>
      </w:pPr>
    </w:p>
    <w:p>
      <w:pPr>
        <w:ind w:left="1260" w:right="1539" w:firstLine="284"/>
        <w:spacing w:after="0" w:line="261" w:lineRule="auto"/>
        <w:rPr>
          <w:sz w:val="20"/>
          <w:szCs w:val="20"/>
          <w:color w:val="auto"/>
        </w:rPr>
      </w:pPr>
      <w:r>
        <w:rPr>
          <w:rFonts w:ascii="Times New Roman" w:cs="Times New Roman" w:eastAsia="Times New Roman" w:hAnsi="Times New Roman"/>
          <w:sz w:val="14"/>
          <w:szCs w:val="14"/>
          <w:color w:val="auto"/>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options to purchase additional securities held by them will be described in the applicable prospectus supplement. For a more complete description of the plan of distribution of these securities, see the section entitled “Plan of Distribution” beginning on page 24 of this prospectus.</w:t>
      </w:r>
    </w:p>
    <w:p>
      <w:pPr>
        <w:spacing w:after="0" w:line="91" w:lineRule="exact"/>
        <w:rPr>
          <w:sz w:val="20"/>
          <w:szCs w:val="20"/>
          <w:color w:val="auto"/>
        </w:rPr>
      </w:pPr>
    </w:p>
    <w:p>
      <w:pPr>
        <w:ind w:left="1260" w:right="1379" w:firstLine="284"/>
        <w:spacing w:after="0" w:line="289" w:lineRule="auto"/>
        <w:rPr>
          <w:sz w:val="20"/>
          <w:szCs w:val="20"/>
          <w:color w:val="auto"/>
        </w:rPr>
      </w:pPr>
      <w:r>
        <w:rPr>
          <w:rFonts w:ascii="Times New Roman" w:cs="Times New Roman" w:eastAsia="Times New Roman" w:hAnsi="Times New Roman"/>
          <w:sz w:val="14"/>
          <w:szCs w:val="14"/>
          <w:color w:val="auto"/>
        </w:rPr>
        <w:t>Our ADSs are listed on The Nasdaq Global Select Market under the symbol “CHA.” On June 4, 2026, the last reported sale price of our ADSs on The Nasdaq Global Select Market was $11.58 per ADS.</w:t>
      </w:r>
    </w:p>
    <w:p>
      <w:pPr>
        <w:spacing w:after="0" w:line="71" w:lineRule="exact"/>
        <w:rPr>
          <w:sz w:val="20"/>
          <w:szCs w:val="20"/>
          <w:color w:val="auto"/>
        </w:rPr>
      </w:pPr>
    </w:p>
    <w:p>
      <w:pPr>
        <w:ind w:left="1260" w:right="1299" w:firstLine="284"/>
        <w:spacing w:after="0" w:line="257" w:lineRule="auto"/>
        <w:rPr>
          <w:sz w:val="20"/>
          <w:szCs w:val="20"/>
          <w:color w:val="auto"/>
        </w:rPr>
      </w:pPr>
      <w:r>
        <w:rPr>
          <w:rFonts w:ascii="Times New Roman" w:cs="Times New Roman" w:eastAsia="Times New Roman" w:hAnsi="Times New Roman"/>
          <w:sz w:val="14"/>
          <w:szCs w:val="14"/>
          <w:color w:val="auto"/>
        </w:rPr>
        <w:t>Chagee Holdings Limited is a Cayman Islands holding company with no business operations of its own. It conducts all of its operations through its subsidiaries located in China and elsewhere. It does not use a variable interest entity structure. Investors in the ADSs are not purchasing equity securities of these subsidiaries that have substantive business operations but instead are purchasing equity securities of a Cayman Islands holding company. This holding company structure involves unique risks to investors. For example, while we do not operate in an industry that is currently subject to foreign ownership limitations in China, PRC regulatory authorities could decide to limit foreign ownership in our industry and/or disallow this holding company structure in the future, in which case there could be a risk that we would be unable to do business in China as we are currently structured. In such event, despite our efforts to restructure to comply with the then applicable PRC laws and regulations in order to continue our operations in China, we may experience material changes in our business and results of operations, our attempts may prove to be futile due to factors beyond our control, and the value of the ADSs you invest in may significantly decline or become worthless. As we are a holding company with substantive business operations in China, you should pay special attention to disclosures included in our most recent annual report on Form 20-F incorporated by reference in this prospectus and risk factors included herein.</w:t>
      </w:r>
    </w:p>
    <w:p>
      <w:pPr>
        <w:spacing w:after="0" w:line="254" w:lineRule="exact"/>
        <w:rPr>
          <w:sz w:val="20"/>
          <w:szCs w:val="20"/>
          <w:color w:val="auto"/>
        </w:rPr>
      </w:pPr>
    </w:p>
    <w:p>
      <w:pPr>
        <w:ind w:left="1260" w:right="1299" w:firstLine="284"/>
        <w:spacing w:after="0" w:line="258" w:lineRule="auto"/>
        <w:rPr>
          <w:sz w:val="20"/>
          <w:szCs w:val="20"/>
          <w:color w:val="auto"/>
        </w:rPr>
      </w:pPr>
      <w:r>
        <w:rPr>
          <w:rFonts w:ascii="Times New Roman" w:cs="Times New Roman" w:eastAsia="Times New Roman" w:hAnsi="Times New Roman"/>
          <w:sz w:val="14"/>
          <w:szCs w:val="14"/>
          <w:color w:val="auto"/>
        </w:rPr>
        <w:t>The PRC government has significant oversight over the conduct of our business and its laws, regulations and policies may affect our operations. The Chinese government has recently published new policies that significantly affected certain industries and we cannot rule out the possibility that it will in the future release regulations or policies regarding our industry that could adversely affect our business, financial condition and results of operations. Furthermore, the PRC regulatory authorities have issued new laws and regulations to exert more oversight and control over overseas securities offerings and other capital markets activities and foreign investment in China-based companies like us. Any such action, once taken by the PRC regulatory authorities, could significantly limit or completely hinder our ability to offer or continue to offer securities to investors and cause the value of such securities to significantly decline or in extreme cases, become worthless.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572770</wp:posOffset>
            </wp:positionV>
            <wp:extent cx="539813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 w:name="page3"/>
    <w:bookmarkEnd w:id="2"/>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60" w:right="1499"/>
        <w:spacing w:after="0" w:line="272" w:lineRule="auto"/>
        <w:rPr>
          <w:sz w:val="20"/>
          <w:szCs w:val="20"/>
          <w:color w:val="auto"/>
        </w:rPr>
      </w:pPr>
      <w:r>
        <w:rPr>
          <w:rFonts w:ascii="Times New Roman" w:cs="Times New Roman" w:eastAsia="Times New Roman" w:hAnsi="Times New Roman"/>
          <w:sz w:val="14"/>
          <w:szCs w:val="14"/>
          <w:color w:val="auto"/>
        </w:rPr>
        <w:t>For additional information, see “Item 3. Key Information — 3.D. Risk Factors — Risks Related to Doing Business in China” in our most recent annual report on Form 20-F incorporated by reference in this prospectus.</w:t>
      </w:r>
    </w:p>
    <w:p>
      <w:pPr>
        <w:spacing w:after="0" w:line="243" w:lineRule="exact"/>
        <w:rPr>
          <w:sz w:val="20"/>
          <w:szCs w:val="20"/>
          <w:color w:val="auto"/>
        </w:rPr>
      </w:pPr>
    </w:p>
    <w:p>
      <w:pPr>
        <w:ind w:left="1260" w:right="1279" w:firstLine="284"/>
        <w:spacing w:after="0" w:line="245" w:lineRule="auto"/>
        <w:rPr>
          <w:sz w:val="20"/>
          <w:szCs w:val="20"/>
          <w:color w:val="auto"/>
        </w:rPr>
      </w:pPr>
      <w:r>
        <w:rPr>
          <w:rFonts w:ascii="Times New Roman" w:cs="Times New Roman" w:eastAsia="Times New Roman" w:hAnsi="Times New Roman"/>
          <w:sz w:val="14"/>
          <w:szCs w:val="14"/>
          <w:color w:val="auto"/>
        </w:rPr>
        <w:t>On February 17, 2023, the China Securities Regulatory Commission (the “CSRC”) published the Trial Administrative Measures of the Overseas Securities Offering and Listing by Domestic Companies and five supporting guidelines, collectively the Overseas Listing Filing Rules, which came into effect on March 31, 2023 and regulate both direct and indirect overseas offering and listing of PRC-based companies by adopting a filing-based regulatory regime. According to the Overseas Listing Filing Rules, if the issuer meets both of the following criteria, the overseas securities offering and listing conducted by such issuers shall be deemed as indirect overseas offering and listing: (i) more than 50% of the issuer’s operating revenue, total profit, total assets or net assets as documented in its audited consolidated financial statements for the most recent accounting year is accounted for by domestic companies; and (ii) the main parts of the issuer’s business activities are conducted in China, or its main places of business are located in China, or the senior managers in charge of its business operation and management are majority Chinese citizens or domiciled in China. The Overseas Listing Filing Rules provide that (i) the filing applications be submitted to the CSRC within three business days after the issuer submits its application documents relating to the initial public offering and/or listing in overseas; (ii) a timely report be submitted to the CSRC and update its CSRC filing within three business days after the occurrence of any of the following material events, if any of the following events occurs before the completion of the overseas offering and/or listing but after the completion of its CSRC filing: (a) any material change to principal business, licenses or qualifications of the issuer, (b) a change of control of the issuer or any material change to equity structure of the issuer, and</w:t>
      </w:r>
    </w:p>
    <w:p>
      <w:pPr>
        <w:spacing w:after="0" w:line="167" w:lineRule="exact"/>
        <w:rPr>
          <w:sz w:val="20"/>
          <w:szCs w:val="20"/>
          <w:color w:val="auto"/>
        </w:rPr>
      </w:pPr>
    </w:p>
    <w:p>
      <w:pPr>
        <w:ind w:left="1260" w:right="1299" w:firstLine="1"/>
        <w:spacing w:after="0" w:line="242" w:lineRule="auto"/>
        <w:tabs>
          <w:tab w:leader="none" w:pos="1465"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change to the offering and listing plan; (iii) after the completion of the listing, a report relating to the issuance information of such offering and/or listing be submitted to the CSRC and a report be submitted to the CSRC within three business days upon the occurrence and public announcement of any of the following material events after the overseas offering and/or listing: (a) a change of control of the issuer,</w:t>
      </w:r>
    </w:p>
    <w:p>
      <w:pPr>
        <w:spacing w:after="0" w:line="1" w:lineRule="exact"/>
        <w:rPr>
          <w:rFonts w:ascii="Times New Roman" w:cs="Times New Roman" w:eastAsia="Times New Roman" w:hAnsi="Times New Roman"/>
          <w:sz w:val="14"/>
          <w:szCs w:val="14"/>
          <w:color w:val="auto"/>
        </w:rPr>
      </w:pPr>
    </w:p>
    <w:p>
      <w:pPr>
        <w:ind w:left="1260" w:right="1299" w:firstLine="1"/>
        <w:spacing w:after="0" w:line="245" w:lineRule="auto"/>
        <w:tabs>
          <w:tab w:leader="none" w:pos="1473"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investigation, sanction or other measures undertaken by any foreign securities regulatory agencies or relevant competent authorities in respect of the issuer, (c) change of the listing status or transfer of the listing board, and (d) the voluntary or mandatory delisting of the issuer; and (iv) where there is material change in the main business of the issuer after overseas offering and listing, which does not apply to the Overseas Listing Filing Rules therefore, such issuer shall submit to the CSRC the applicable filing materials within three business days after occurrence of such change. Therefore, we may be required to obtain approval or complete filing or other requirements of the CSRC or other PRC government authorities in connection with our issuances of securities pursuant to this registration statement. For additional information, see “Item 3. Key Information — 3.D. Risk Factors — Risks Related to Doing Business in China” in our most recent annual report on Form 20-F incorporated by reference in this prospectus.</w:t>
      </w:r>
    </w:p>
    <w:p>
      <w:pPr>
        <w:spacing w:after="0" w:line="90" w:lineRule="exact"/>
        <w:rPr>
          <w:sz w:val="20"/>
          <w:szCs w:val="20"/>
          <w:color w:val="auto"/>
        </w:rPr>
      </w:pPr>
    </w:p>
    <w:p>
      <w:pPr>
        <w:ind w:left="1260" w:right="1299" w:firstLine="284"/>
        <w:spacing w:after="0" w:line="245" w:lineRule="auto"/>
        <w:rPr>
          <w:sz w:val="20"/>
          <w:szCs w:val="20"/>
          <w:color w:val="auto"/>
        </w:rPr>
      </w:pPr>
      <w:r>
        <w:rPr>
          <w:rFonts w:ascii="Times New Roman" w:cs="Times New Roman" w:eastAsia="Times New Roman" w:hAnsi="Times New Roman"/>
          <w:sz w:val="14"/>
          <w:szCs w:val="14"/>
          <w:color w:val="auto"/>
        </w:rPr>
        <w:t>In addition, our auditor is headquartered in mainland China, a jurisdiction where the Public Company Accounting Oversight Board, or PCAOB, was unable to conduct inspections without the approval of the Chinese authorities. Trading in our securities on U.S. markets, including Nasdaq, may be prohibited, and as a result, our ADSs may be delisted under the Holding Foreign Companies Accountable Act, or HFCAA, if the PCAOB determines that it has been unable to inspect or investigate completely our auditor located in China for two consecutive years. On December 16, 2021, the PCAOB issued the HFCAA Determination Report to notify the SEC of its determinations, or 2021 Determinations,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As a result, we do not expect to be identified as a “Commission-Identified Issuer” under the HFCAA in the near future. However, whether the PCAOB will continue to be able to satisfactorily conduct inspections and investigations of PCAOB-registered public accounting firms headquartered in mainland 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The PCAOB is required under the HFCAA to make its determination on an annual basis with regards to its ability to inspect and investigate completely accounting firms based in the mainland China and Hong Kong. The possibility of being a “Commission-Identified Issuer” and risk of delisting could continue to adversely affect the trading price of our securities. If the PCAOB determines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673735</wp:posOffset>
            </wp:positionV>
            <wp:extent cx="539813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 w:name="page4"/>
    <w:bookmarkEnd w:id="3"/>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60" w:right="1299"/>
        <w:spacing w:after="0" w:line="263" w:lineRule="auto"/>
        <w:rPr>
          <w:sz w:val="20"/>
          <w:szCs w:val="20"/>
          <w:color w:val="auto"/>
        </w:rPr>
      </w:pPr>
      <w:r>
        <w:rPr>
          <w:rFonts w:ascii="Times New Roman" w:cs="Times New Roman" w:eastAsia="Times New Roman" w:hAnsi="Times New Roman"/>
          <w:sz w:val="14"/>
          <w:szCs w:val="14"/>
          <w:color w:val="auto"/>
        </w:rPr>
        <w:t>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on U.S. markets would be prohibited under the HFCAA.</w:t>
      </w:r>
    </w:p>
    <w:p>
      <w:pPr>
        <w:spacing w:after="0" w:line="89" w:lineRule="exact"/>
        <w:rPr>
          <w:sz w:val="20"/>
          <w:szCs w:val="20"/>
          <w:color w:val="auto"/>
        </w:rPr>
      </w:pPr>
    </w:p>
    <w:p>
      <w:pPr>
        <w:ind w:left="1260" w:right="1399" w:firstLine="284"/>
        <w:spacing w:after="0" w:line="289" w:lineRule="auto"/>
        <w:rPr>
          <w:sz w:val="20"/>
          <w:szCs w:val="20"/>
          <w:color w:val="auto"/>
        </w:rPr>
      </w:pPr>
      <w:r>
        <w:rPr>
          <w:rFonts w:ascii="Times New Roman" w:cs="Times New Roman" w:eastAsia="Times New Roman" w:hAnsi="Times New Roman"/>
          <w:sz w:val="14"/>
          <w:szCs w:val="14"/>
          <w:color w:val="auto"/>
        </w:rPr>
        <w:t>As used in this prospectus, “we,” “us,” “our company,” “our,” or “Chagee” refers to Chagee Holdings Limited and its subsidiaries.</w:t>
      </w:r>
    </w:p>
    <w:p>
      <w:pPr>
        <w:spacing w:after="0" w:line="71" w:lineRule="exact"/>
        <w:rPr>
          <w:sz w:val="20"/>
          <w:szCs w:val="20"/>
          <w:color w:val="auto"/>
        </w:rPr>
      </w:pPr>
    </w:p>
    <w:p>
      <w:pPr>
        <w:ind w:left="1260" w:right="1279" w:firstLine="284"/>
        <w:spacing w:after="0" w:line="255" w:lineRule="auto"/>
        <w:rPr>
          <w:sz w:val="20"/>
          <w:szCs w:val="20"/>
          <w:color w:val="auto"/>
        </w:rPr>
      </w:pPr>
      <w:r>
        <w:rPr>
          <w:rFonts w:ascii="Times New Roman" w:cs="Times New Roman" w:eastAsia="Times New Roman" w:hAnsi="Times New Roman"/>
          <w:sz w:val="14"/>
          <w:szCs w:val="14"/>
          <w:color w:val="auto"/>
        </w:rPr>
        <w:t>We are a holding company with no business operations of our own. We conduct all of our operations through our subsidiaries located in China and elsewhere. As a result, our ability to pay dividends depends upon dividends paid by our subsidiaries. However, there could be limitations on our ability to transfer cash between Chagee Holdings Limited and its subsidiaries, and investors of our company. For example, if our PRC subsidiaries incur debt in the future, the debt instruments may limit their ability to pay dividends or make distributions to us, potentially affecting our liquidity. Additionally, investors should be aware that to the extent cash in the business is in the PRC or a PRC entity, the funds may not be transferred between Chagee Holdings Limited and its subsidiaries or be available to fund operations or for other use outside of the PRC due to interventions in or the imposition of restrictions and limitations on the ability of our subsidiaries by the PRC government to transfer cash. Any restrictions on our subsidiaries’ ability to pay dividends or make other payments to us could significantly impede our growth, investment opportunities, acquisitions, dividend payments to our investors, and overall business operations. On the other hand, transferring funds to our PRC subsidiaries, whether as loans or increases in registered capital, requires approvals, registrations, or filings with relevant PRC regulatory authorities. Obtaining these approvals or completing registrations or filings in a timely manner for future capital contributions or foreign loans from us to our PRC subsidiaries may be uncertain or delayed. Furthermore, funds transferred to our PRC subsidiaries are subject to foreign exchange restrictions, including limitations on loan amounts and usage, as per relevant PRC laws and regulations. See “Item 3. Key Information — 3.D. Risk Factors — Risks Relating to Doing Business in China —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 PRC regulation of loans to and direct investment in PRC entities by offshore holding companies and currency conversion may delay us from using the proceeds of our initial public offering to make loans or additional capital contributions to our PRC subsidiaries, which could materially and adversely affect our liquidity and our ability to fund and expand our business.</w:t>
      </w:r>
    </w:p>
    <w:p>
      <w:pPr>
        <w:spacing w:after="0" w:line="267" w:lineRule="exact"/>
        <w:rPr>
          <w:sz w:val="20"/>
          <w:szCs w:val="20"/>
          <w:color w:val="auto"/>
        </w:rPr>
      </w:pPr>
    </w:p>
    <w:p>
      <w:pPr>
        <w:ind w:left="1260" w:right="1679" w:firstLine="284"/>
        <w:spacing w:after="0" w:line="264" w:lineRule="auto"/>
        <w:rPr>
          <w:sz w:val="20"/>
          <w:szCs w:val="20"/>
          <w:color w:val="auto"/>
        </w:rPr>
      </w:pPr>
      <w:r>
        <w:rPr>
          <w:rFonts w:ascii="Times New Roman" w:cs="Times New Roman" w:eastAsia="Times New Roman" w:hAnsi="Times New Roman"/>
          <w:sz w:val="14"/>
          <w:szCs w:val="14"/>
          <w:b w:val="1"/>
          <w:bCs w:val="1"/>
          <w:color w:val="auto"/>
        </w:rPr>
        <w:t>Investing in the ADSs or our Class A ordinary shares involves a high degree of risk. Before deciding whether to invest in the ADSs or our Class A ordinary shares, you should consider carefully the risks and uncertainties incorporated by reference under the heading “</w:t>
      </w:r>
      <w:r>
        <w:rPr>
          <w:rFonts w:ascii="Times New Roman" w:cs="Times New Roman" w:eastAsia="Times New Roman" w:hAnsi="Times New Roman"/>
          <w:sz w:val="14"/>
          <w:szCs w:val="14"/>
          <w:b w:val="1"/>
          <w:bCs w:val="1"/>
          <w:i w:val="1"/>
          <w:iCs w:val="1"/>
          <w:color w:val="auto"/>
        </w:rPr>
        <w:t>Risk Factors</w:t>
      </w:r>
      <w:r>
        <w:rPr>
          <w:rFonts w:ascii="Times New Roman" w:cs="Times New Roman" w:eastAsia="Times New Roman" w:hAnsi="Times New Roman"/>
          <w:sz w:val="14"/>
          <w:szCs w:val="14"/>
          <w:b w:val="1"/>
          <w:bCs w:val="1"/>
          <w:color w:val="auto"/>
        </w:rPr>
        <w:t xml:space="preserve">” beginning on page </w:t>
      </w:r>
      <w:r>
        <w:rPr>
          <w:rFonts w:ascii="Times New Roman" w:cs="Times New Roman" w:eastAsia="Times New Roman" w:hAnsi="Times New Roman"/>
          <w:sz w:val="14"/>
          <w:szCs w:val="14"/>
          <w:b w:val="1"/>
          <w:bCs w:val="1"/>
          <w:u w:val="single" w:color="auto"/>
          <w:color w:val="0000EE"/>
        </w:rPr>
        <w:t>5</w:t>
      </w:r>
      <w:r>
        <w:rPr>
          <w:rFonts w:ascii="Times New Roman" w:cs="Times New Roman" w:eastAsia="Times New Roman" w:hAnsi="Times New Roman"/>
          <w:sz w:val="14"/>
          <w:szCs w:val="14"/>
          <w:b w:val="1"/>
          <w:bCs w:val="1"/>
          <w:color w:val="auto"/>
        </w:rPr>
        <w:t xml:space="preserve"> of this prospectus and under similar headings in the other documents that are filed after the date hereof and incorporated by reference into this prospectus.</w:t>
      </w:r>
    </w:p>
    <w:p>
      <w:pPr>
        <w:spacing w:after="0" w:line="87" w:lineRule="exact"/>
        <w:rPr>
          <w:sz w:val="20"/>
          <w:szCs w:val="20"/>
          <w:color w:val="auto"/>
        </w:rPr>
      </w:pPr>
    </w:p>
    <w:p>
      <w:pPr>
        <w:ind w:left="1260" w:right="1579" w:firstLine="284"/>
        <w:spacing w:after="0" w:line="289" w:lineRule="auto"/>
        <w:rPr>
          <w:sz w:val="20"/>
          <w:szCs w:val="20"/>
          <w:color w:val="auto"/>
        </w:rPr>
      </w:pPr>
      <w:r>
        <w:rPr>
          <w:rFonts w:ascii="Times New Roman" w:cs="Times New Roman" w:eastAsia="Times New Roman" w:hAnsi="Times New Roman"/>
          <w:sz w:val="14"/>
          <w:szCs w:val="14"/>
          <w:color w:val="auto"/>
        </w:rPr>
        <w:t>This prospectus may not be used to offer or sell any securities unless accompanied by a prospectus supplement.</w:t>
      </w:r>
    </w:p>
    <w:p>
      <w:pPr>
        <w:spacing w:after="0" w:line="69" w:lineRule="exact"/>
        <w:rPr>
          <w:sz w:val="20"/>
          <w:szCs w:val="20"/>
          <w:color w:val="auto"/>
        </w:rPr>
      </w:pPr>
    </w:p>
    <w:p>
      <w:pPr>
        <w:ind w:left="1260" w:right="1339" w:firstLine="284"/>
        <w:spacing w:after="0" w:line="273"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88265</wp:posOffset>
            </wp:positionV>
            <wp:extent cx="97536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5360" cy="698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is 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1216660</wp:posOffset>
            </wp:positionV>
            <wp:extent cx="539813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 w:name="page5"/>
    <w:bookmarkEnd w:id="4"/>
    <w:p>
      <w:pPr>
        <w:ind w:left="2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152400</wp:posOffset>
            </wp:positionV>
            <wp:extent cx="97536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75360" cy="6985"/>
                    </a:xfrm>
                    <a:prstGeom prst="rect">
                      <a:avLst/>
                    </a:prstGeom>
                    <a:noFill/>
                  </pic:spPr>
                </pic:pic>
              </a:graphicData>
            </a:graphic>
          </wp:anchor>
        </w:drawing>
      </w:r>
    </w:p>
    <w:p>
      <w:pPr>
        <w:spacing w:after="0" w:line="3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13335</wp:posOffset>
            </wp:positionV>
            <wp:extent cx="4119245" cy="135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19245" cy="135255"/>
                    </a:xfrm>
                    <a:prstGeom prst="rect">
                      <a:avLst/>
                    </a:prstGeom>
                    <a:noFill/>
                  </pic:spPr>
                </pic:pic>
              </a:graphicData>
            </a:graphic>
          </wp:anchor>
        </w:drawing>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About This Prospectus</w:t>
      </w:r>
    </w:p>
    <w:p>
      <w:pPr>
        <w:spacing w:after="0" w:line="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15240</wp:posOffset>
            </wp:positionV>
            <wp:extent cx="411924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19245" cy="128905"/>
                    </a:xfrm>
                    <a:prstGeom prst="rect">
                      <a:avLst/>
                    </a:prstGeom>
                    <a:noFill/>
                  </pic:spPr>
                </pic:pic>
              </a:graphicData>
            </a:graphic>
          </wp:anchor>
        </w:drawing>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Corporate Information</w:t>
      </w:r>
    </w:p>
    <w:p>
      <w:pPr>
        <w:spacing w:after="0" w:line="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15240</wp:posOffset>
            </wp:positionV>
            <wp:extent cx="4119245" cy="135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19245" cy="13525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Description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15240</wp:posOffset>
            </wp:positionV>
            <wp:extent cx="4119245" cy="135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19245" cy="13525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Description of American Depositary Shares</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Enforceability of Civil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15240</wp:posOffset>
            </wp:positionV>
            <wp:extent cx="4119245" cy="135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19245" cy="13525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Taxation</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Selling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15240</wp:posOffset>
            </wp:positionV>
            <wp:extent cx="4119245" cy="135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19245" cy="13525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15240</wp:posOffset>
            </wp:positionV>
            <wp:extent cx="4119245" cy="135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19245" cy="13525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15240</wp:posOffset>
            </wp:positionV>
            <wp:extent cx="4119245" cy="135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19245" cy="13525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EE"/>
        </w:rPr>
        <w:t>Incorporation of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2"/>
          <w:szCs w:val="22"/>
          <w:b w:val="1"/>
          <w:bCs w:val="1"/>
          <w:color w:val="auto"/>
          <w:vertAlign w:val="subscript"/>
        </w:rPr>
        <w:t>​</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ectPr>
          <w:pgSz w:w="11900" w:h="16838" w:orient="portrait"/>
          <w:cols w:equalWidth="0" w:num="2">
            <w:col w:w="6600" w:space="720"/>
            <w:col w:w="1699"/>
          </w:cols>
          <w:pgMar w:left="1440" w:top="108" w:right="1440" w:bottom="1440" w:gutter="0" w:footer="0" w:header="0"/>
        </w:sectPr>
      </w:pPr>
    </w:p>
    <w:bookmarkStart w:id="5" w:name="page6"/>
    <w:bookmarkEnd w:id="5"/>
    <w:p>
      <w:pPr>
        <w:ind w:left="2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9" w:lineRule="exact"/>
        <w:rPr>
          <w:sz w:val="20"/>
          <w:szCs w:val="20"/>
          <w:color w:val="auto"/>
        </w:rPr>
      </w:pPr>
    </w:p>
    <w:p>
      <w:pPr>
        <w:ind w:left="1260" w:right="1279" w:firstLine="284"/>
        <w:spacing w:after="0" w:line="257" w:lineRule="auto"/>
        <w:rPr>
          <w:sz w:val="20"/>
          <w:szCs w:val="20"/>
          <w:color w:val="auto"/>
        </w:rPr>
      </w:pPr>
      <w:r>
        <w:rPr>
          <w:rFonts w:ascii="Times New Roman" w:cs="Times New Roman" w:eastAsia="Times New Roman" w:hAnsi="Times New Roman"/>
          <w:sz w:val="14"/>
          <w:szCs w:val="14"/>
          <w:color w:val="auto"/>
        </w:rPr>
        <w:t>We are a “well-known seasoned issuer” as defined in Rule 405 under the Securities Act of 1933, as amended, or the Securities Act. This prospectus is part of an automatic shelf registration statement that we filed with the Securities and Exchange Commission, or the SEC. By using an automatic shelf registration statement, we or any selling shareholder may, at any time and from time to time, sell the securities described in this prospectus in one or more offerings. We may also add, update or change information contained in this prospectus by means of a prospectus supplement or by incorporating by reference information that we file or furnish to the SEC.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any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268" w:lineRule="exact"/>
        <w:rPr>
          <w:sz w:val="20"/>
          <w:szCs w:val="20"/>
          <w:color w:val="auto"/>
        </w:rPr>
      </w:pPr>
    </w:p>
    <w:p>
      <w:pPr>
        <w:ind w:left="1260" w:right="1379" w:firstLine="284"/>
        <w:spacing w:after="0" w:line="263" w:lineRule="auto"/>
        <w:rPr>
          <w:sz w:val="20"/>
          <w:szCs w:val="20"/>
          <w:color w:val="auto"/>
        </w:rPr>
      </w:pPr>
      <w:r>
        <w:rPr>
          <w:rFonts w:ascii="Times New Roman" w:cs="Times New Roman" w:eastAsia="Times New Roman" w:hAnsi="Times New Roman"/>
          <w:sz w:val="14"/>
          <w:szCs w:val="14"/>
          <w:color w:val="auto"/>
        </w:rPr>
        <w:t>You should carefully read this document and any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on the SEC’s website as described under “Where You Can Find More Information About Us.”</w:t>
      </w:r>
    </w:p>
    <w:p>
      <w:pPr>
        <w:spacing w:after="0" w:line="7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In this prospectus, unless otherwise indicated or unless the context otherwise requires:</w:t>
      </w:r>
    </w:p>
    <w:p>
      <w:pPr>
        <w:spacing w:after="0" w:line="95" w:lineRule="exact"/>
        <w:rPr>
          <w:sz w:val="20"/>
          <w:szCs w:val="20"/>
          <w:color w:val="auto"/>
        </w:rPr>
      </w:pPr>
    </w:p>
    <w:p>
      <w:pPr>
        <w:ind w:left="1680" w:hanging="135"/>
        <w:spacing w:after="0"/>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“ADSs” refers to the American depositary shares, each representing one Class A ordinary share;</w:t>
      </w:r>
    </w:p>
    <w:p>
      <w:pPr>
        <w:spacing w:after="0" w:line="95" w:lineRule="exact"/>
        <w:rPr>
          <w:rFonts w:ascii="Times New Roman" w:cs="Times New Roman" w:eastAsia="Times New Roman" w:hAnsi="Times New Roman"/>
          <w:sz w:val="14"/>
          <w:szCs w:val="14"/>
          <w:color w:val="auto"/>
        </w:rPr>
      </w:pPr>
    </w:p>
    <w:p>
      <w:pPr>
        <w:ind w:left="1680" w:right="1339" w:hanging="135"/>
        <w:spacing w:after="0" w:line="272"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“China” or “PRC” refers to the People’s Republic of China, and only in the context of describing PRC laws, regulations and other legal or tax matters in this prospectus, excludes Hong Kong, Macau and Taiwan;</w:t>
      </w:r>
    </w:p>
    <w:p>
      <w:pPr>
        <w:spacing w:after="0" w:line="50"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ordinary share” refers to our Class A ordinary shares, par value US$0.0001 per share;</w:t>
      </w:r>
    </w:p>
    <w:p>
      <w:pPr>
        <w:spacing w:after="0" w:line="95"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ordinary share” refers to our Class B ordinary shares, par value US$0.0001 per share;</w:t>
      </w:r>
    </w:p>
    <w:p>
      <w:pPr>
        <w:spacing w:after="0" w:line="95" w:lineRule="exact"/>
        <w:rPr>
          <w:rFonts w:ascii="Times New Roman" w:cs="Times New Roman" w:eastAsia="Times New Roman" w:hAnsi="Times New Roman"/>
          <w:sz w:val="14"/>
          <w:szCs w:val="14"/>
          <w:color w:val="auto"/>
        </w:rPr>
      </w:pPr>
    </w:p>
    <w:p>
      <w:pPr>
        <w:ind w:left="1680" w:right="1679" w:hanging="135"/>
        <w:spacing w:after="0" w:line="289"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“Chagee,” “we,” “us,” “our company,” and “our” refer to Chagee Holdings Limited, a Cayman Islands exempted company and its subsidiaries;</w:t>
      </w:r>
    </w:p>
    <w:p>
      <w:pPr>
        <w:spacing w:after="0" w:line="39" w:lineRule="exact"/>
        <w:rPr>
          <w:rFonts w:ascii="Times New Roman" w:cs="Times New Roman" w:eastAsia="Times New Roman" w:hAnsi="Times New Roman"/>
          <w:sz w:val="14"/>
          <w:szCs w:val="14"/>
          <w:color w:val="auto"/>
        </w:rPr>
      </w:pPr>
    </w:p>
    <w:p>
      <w:pPr>
        <w:ind w:left="1680" w:right="1459" w:hanging="135"/>
        <w:spacing w:after="0" w:line="289"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or “ordinary shares” refer to our Class A ordinary shares and Class B ordinary shares, par value US$0.0001 per share;</w:t>
      </w:r>
    </w:p>
    <w:p>
      <w:pPr>
        <w:spacing w:after="0" w:line="39"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“RMB” and “Renminbi” refer to the legal currency of China;</w:t>
      </w:r>
    </w:p>
    <w:p>
      <w:pPr>
        <w:spacing w:after="0" w:line="95"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“dollars” or “U.S. dollars” refers to the legal currency of the United States; and</w:t>
      </w:r>
    </w:p>
    <w:p>
      <w:pPr>
        <w:spacing w:after="0" w:line="95"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GAAP” refers to the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ind w:left="2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29" w:lineRule="exact"/>
        <w:rPr>
          <w:sz w:val="20"/>
          <w:szCs w:val="20"/>
          <w:color w:val="auto"/>
        </w:rPr>
      </w:pPr>
    </w:p>
    <w:p>
      <w:pPr>
        <w:ind w:left="1260" w:right="1439" w:firstLine="284"/>
        <w:spacing w:after="0" w:line="248"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contain forward-looking statements. These are based on our management’s current beliefs, expectations and assumptions about future events, conditions and results and on information currently available to us. Discussions containing these forward-looking statements may be found, among other places, in the sections titled “</w:t>
      </w:r>
      <w:r>
        <w:rPr>
          <w:rFonts w:ascii="Times New Roman" w:cs="Times New Roman" w:eastAsia="Times New Roman" w:hAnsi="Times New Roman"/>
          <w:sz w:val="14"/>
          <w:szCs w:val="14"/>
          <w:i w:val="1"/>
          <w:iCs w:val="1"/>
          <w:color w:val="auto"/>
        </w:rPr>
        <w:t>Item 3. Key Information — </w:t>
      </w:r>
    </w:p>
    <w:p>
      <w:pPr>
        <w:spacing w:after="0" w:line="1" w:lineRule="exact"/>
        <w:rPr>
          <w:sz w:val="20"/>
          <w:szCs w:val="20"/>
          <w:color w:val="auto"/>
        </w:rPr>
      </w:pPr>
    </w:p>
    <w:p>
      <w:pPr>
        <w:ind w:left="1260" w:right="1279" w:firstLine="1"/>
        <w:spacing w:after="0" w:line="252" w:lineRule="auto"/>
        <w:tabs>
          <w:tab w:leader="none" w:pos="1442"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Item 4. Information on the Company — B. Business Overview</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Item 5. Operating and Financial Review and Prospects</w:t>
      </w:r>
      <w:r>
        <w:rPr>
          <w:rFonts w:ascii="Times New Roman" w:cs="Times New Roman" w:eastAsia="Times New Roman" w:hAnsi="Times New Roman"/>
          <w:sz w:val="14"/>
          <w:szCs w:val="14"/>
          <w:color w:val="auto"/>
        </w:rPr>
        <w:t>” incorporated by reference from our most recent annual report on Form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20-F, as well as any amendments thereto, filed with the SEC.</w:t>
      </w:r>
    </w:p>
    <w:p>
      <w:pPr>
        <w:spacing w:after="0" w:line="85" w:lineRule="exact"/>
        <w:rPr>
          <w:sz w:val="20"/>
          <w:szCs w:val="20"/>
          <w:color w:val="auto"/>
        </w:rPr>
      </w:pPr>
    </w:p>
    <w:p>
      <w:pPr>
        <w:ind w:left="1260" w:right="1319" w:firstLine="284"/>
        <w:spacing w:after="0" w:line="249" w:lineRule="auto"/>
        <w:rPr>
          <w:sz w:val="20"/>
          <w:szCs w:val="20"/>
          <w:color w:val="auto"/>
        </w:rPr>
      </w:pPr>
      <w:r>
        <w:rPr>
          <w:rFonts w:ascii="Times New Roman" w:cs="Times New Roman" w:eastAsia="Times New Roman" w:hAnsi="Times New Roman"/>
          <w:sz w:val="14"/>
          <w:szCs w:val="14"/>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Such statements are subject to risks and uncertainties, and actual results may differ materially from those expressed or implied in the forward-looking statements due to of various factors, including, but not limited to, those relating to:</w:t>
      </w:r>
    </w:p>
    <w:p>
      <w:pPr>
        <w:spacing w:after="0" w:line="58" w:lineRule="exact"/>
        <w:rPr>
          <w:sz w:val="20"/>
          <w:szCs w:val="20"/>
          <w:color w:val="auto"/>
        </w:rPr>
      </w:pPr>
    </w:p>
    <w:p>
      <w:pPr>
        <w:ind w:left="1680" w:hanging="135"/>
        <w:spacing w:after="0"/>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mission and growth strategies;</w:t>
      </w:r>
    </w:p>
    <w:p>
      <w:pPr>
        <w:spacing w:after="0" w:line="84"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business development, results of operations and financial condition;</w:t>
      </w:r>
    </w:p>
    <w:p>
      <w:pPr>
        <w:spacing w:after="0" w:line="84"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relevant government policies and regulations relating to our business and industry;</w:t>
      </w:r>
    </w:p>
    <w:p>
      <w:pPr>
        <w:spacing w:after="0" w:line="84" w:lineRule="exact"/>
        <w:rPr>
          <w:rFonts w:ascii="Times New Roman" w:cs="Times New Roman" w:eastAsia="Times New Roman" w:hAnsi="Times New Roman"/>
          <w:sz w:val="14"/>
          <w:szCs w:val="14"/>
          <w:color w:val="auto"/>
        </w:rPr>
      </w:pPr>
    </w:p>
    <w:p>
      <w:pPr>
        <w:ind w:left="1680" w:right="1339" w:hanging="135"/>
        <w:spacing w:after="0" w:line="289" w:lineRule="auto"/>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successfully identify and secure appropriate sites and timely develop and expand our operations;</w:t>
      </w:r>
    </w:p>
    <w:p>
      <w:pPr>
        <w:spacing w:after="0" w:line="28"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protect our brand and reputation;</w:t>
      </w:r>
    </w:p>
    <w:p>
      <w:pPr>
        <w:spacing w:after="0" w:line="84"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prevent food safety related incidents;</w:t>
      </w:r>
    </w:p>
    <w:p>
      <w:pPr>
        <w:spacing w:after="0" w:line="84"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protect against security breaches of confidential and proprietary information;</w:t>
      </w:r>
    </w:p>
    <w:p>
      <w:pPr>
        <w:spacing w:after="0" w:line="73"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other modern teahouses and relevant industry players;</w:t>
      </w:r>
    </w:p>
    <w:p>
      <w:pPr>
        <w:spacing w:after="0" w:line="84"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consumer preferences and tastes;</w:t>
      </w:r>
    </w:p>
    <w:p>
      <w:pPr>
        <w:spacing w:after="0" w:line="84"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maintain our anticipated revenue growth and profitability of our teahouses;</w:t>
      </w:r>
    </w:p>
    <w:p>
      <w:pPr>
        <w:spacing w:after="0" w:line="84"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adequately protect our intellectual property;</w:t>
      </w:r>
    </w:p>
    <w:p>
      <w:pPr>
        <w:spacing w:after="0" w:line="84"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business condition in China and globally; and</w:t>
      </w:r>
    </w:p>
    <w:p>
      <w:pPr>
        <w:spacing w:after="0" w:line="84"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assumptions underlying or related to any of the foregoing.</w:t>
      </w:r>
    </w:p>
    <w:p>
      <w:pPr>
        <w:spacing w:after="0" w:line="125" w:lineRule="exact"/>
        <w:rPr>
          <w:sz w:val="20"/>
          <w:szCs w:val="20"/>
          <w:color w:val="auto"/>
        </w:rPr>
      </w:pPr>
    </w:p>
    <w:p>
      <w:pPr>
        <w:ind w:left="1260" w:right="1279" w:firstLine="284"/>
        <w:spacing w:after="0" w:line="246" w:lineRule="auto"/>
        <w:rPr>
          <w:sz w:val="20"/>
          <w:szCs w:val="20"/>
          <w:color w:val="auto"/>
        </w:rPr>
      </w:pPr>
      <w:r>
        <w:rPr>
          <w:rFonts w:ascii="Times New Roman" w:cs="Times New Roman" w:eastAsia="Times New Roman" w:hAnsi="Times New Roman"/>
          <w:sz w:val="14"/>
          <w:szCs w:val="14"/>
          <w:color w:val="auto"/>
        </w:rPr>
        <w:t>This list of important factors is not exhaustive. You should refer to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incorporated by reference to our most recent annual report on Form 20-F and incorporated by reference in this prospectus, as the same may be amended, supplemented or superseded by the risks and uncertainties described under similar headings in the other documents that filed after the date hereof and incorporated by reference into this prospectus, for a discussion of important factors that may cause our actual results to differ materially from those expressed or implied by our forward-looking statements. Given these risks, uncertainties and other factors, many of which are beyond our control, we cannot assure you that the forward-looking statements in this prospectus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257" w:lineRule="exact"/>
        <w:rPr>
          <w:sz w:val="20"/>
          <w:szCs w:val="20"/>
          <w:color w:val="auto"/>
        </w:rPr>
      </w:pPr>
    </w:p>
    <w:p>
      <w:pPr>
        <w:ind w:left="1260" w:right="1319" w:firstLine="284"/>
        <w:spacing w:after="0" w:line="255" w:lineRule="auto"/>
        <w:rPr>
          <w:sz w:val="20"/>
          <w:szCs w:val="20"/>
          <w:color w:val="auto"/>
        </w:rPr>
      </w:pPr>
      <w:r>
        <w:rPr>
          <w:rFonts w:ascii="Times New Roman" w:cs="Times New Roman" w:eastAsia="Times New Roman" w:hAnsi="Times New Roman"/>
          <w:sz w:val="14"/>
          <w:szCs w:val="14"/>
          <w:color w:val="auto"/>
        </w:rPr>
        <w:t>You should read this prospectus (as supplemented or amended), together with the documents we have filed with the SEC that are incorporated by reference, completely and with the understanding that our actual future results may be materially different from what we expect. We qualify all of our forward-looking statements by these cautionary statements.</w:t>
      </w:r>
    </w:p>
    <w:p>
      <w:pPr>
        <w:spacing w:after="0" w:line="84" w:lineRule="exact"/>
        <w:rPr>
          <w:sz w:val="20"/>
          <w:szCs w:val="20"/>
          <w:color w:val="auto"/>
        </w:rPr>
      </w:pPr>
    </w:p>
    <w:p>
      <w:pPr>
        <w:ind w:left="1260" w:right="1439" w:firstLine="284"/>
        <w:spacing w:after="0" w:line="289" w:lineRule="auto"/>
        <w:rPr>
          <w:sz w:val="20"/>
          <w:szCs w:val="20"/>
          <w:color w:val="auto"/>
        </w:rPr>
      </w:pPr>
      <w:r>
        <w:rPr>
          <w:rFonts w:ascii="Times New Roman" w:cs="Times New Roman" w:eastAsia="Times New Roman" w:hAnsi="Times New Roman"/>
          <w:sz w:val="14"/>
          <w:szCs w:val="14"/>
          <w:color w:val="auto"/>
        </w:rPr>
        <w:t>This prospectus and the information incorporated by reference in this prospectus may contain market data and industry forecasts that were obtained from industry publications. These data involve a number of</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 w:name="page8"/>
    <w:bookmarkEnd w:id="7"/>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60" w:right="1319"/>
        <w:spacing w:after="0" w:line="266" w:lineRule="auto"/>
        <w:rPr>
          <w:sz w:val="20"/>
          <w:szCs w:val="20"/>
          <w:color w:val="auto"/>
        </w:rPr>
      </w:pPr>
      <w:r>
        <w:rPr>
          <w:rFonts w:ascii="Times New Roman" w:cs="Times New Roman" w:eastAsia="Times New Roman" w:hAnsi="Times New Roman"/>
          <w:sz w:val="14"/>
          <w:szCs w:val="14"/>
          <w:color w:val="auto"/>
        </w:rPr>
        <w:t>assumptions and limitations, and you are cautioned not to give undue weight to such estimates. While we believe the market position, market opportunity and market size information included in this prospectus and in the information incorporated by reference in this prospectus is generally reliable, such information is inherently imprecise.</w:t>
      </w:r>
    </w:p>
    <w:p>
      <w:pPr>
        <w:spacing w:after="0" w:line="86" w:lineRule="exact"/>
        <w:rPr>
          <w:sz w:val="20"/>
          <w:szCs w:val="20"/>
          <w:color w:val="auto"/>
        </w:rPr>
      </w:pPr>
    </w:p>
    <w:p>
      <w:pPr>
        <w:ind w:left="1260" w:right="1439" w:firstLine="284"/>
        <w:spacing w:after="0" w:line="272" w:lineRule="auto"/>
        <w:rPr>
          <w:sz w:val="20"/>
          <w:szCs w:val="20"/>
          <w:color w:val="auto"/>
        </w:rPr>
      </w:pPr>
      <w:r>
        <w:rPr>
          <w:rFonts w:ascii="Times New Roman" w:cs="Times New Roman" w:eastAsia="Times New Roman" w:hAnsi="Times New Roman"/>
          <w:sz w:val="14"/>
          <w:szCs w:val="14"/>
          <w:color w:val="auto"/>
        </w:rPr>
        <w:t>Except as required by law, we assume no obligation to update these forward-looking statements publicly, or to revise any forward-looking statements to reflect events or developments occurring after the date of this prospectus,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 w:name="page9"/>
    <w:bookmarkEnd w:id="8"/>
    <w:p>
      <w:pPr>
        <w:ind w:left="2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29" w:lineRule="exact"/>
        <w:rPr>
          <w:sz w:val="20"/>
          <w:szCs w:val="20"/>
          <w:color w:val="auto"/>
        </w:rPr>
      </w:pPr>
    </w:p>
    <w:p>
      <w:pPr>
        <w:ind w:left="1260" w:right="1359" w:firstLine="284"/>
        <w:spacing w:after="0" w:line="263" w:lineRule="auto"/>
        <w:rPr>
          <w:sz w:val="20"/>
          <w:szCs w:val="20"/>
          <w:color w:val="auto"/>
        </w:rPr>
      </w:pPr>
      <w:r>
        <w:rPr>
          <w:rFonts w:ascii="Times New Roman" w:cs="Times New Roman" w:eastAsia="Times New Roman" w:hAnsi="Times New Roman"/>
          <w:sz w:val="14"/>
          <w:szCs w:val="14"/>
          <w:color w:val="auto"/>
        </w:rPr>
        <w:t>Our corporate headquarters is located at Tower B, Hongqiao Lianhe Building, No.99 Kaihong Road, Changning District, Shanghai, the People’s Republic of China. Our telephone number at this address is +86 186 8893 0014. Our registered office in the Cayman Islands is located at the office of Maples Corporate Services Limited, PO Box 309, Ugland House, Grand Cayman, KY1-1104, Cayman Islands. Our agent for service of process in the United States is Cogency Global Inc.</w:t>
      </w:r>
    </w:p>
    <w:p>
      <w:pPr>
        <w:spacing w:after="0" w:line="89" w:lineRule="exact"/>
        <w:rPr>
          <w:sz w:val="20"/>
          <w:szCs w:val="20"/>
          <w:color w:val="auto"/>
        </w:rPr>
      </w:pPr>
    </w:p>
    <w:p>
      <w:pPr>
        <w:ind w:left="1260" w:right="1439" w:firstLine="284"/>
        <w:spacing w:after="0" w:line="259" w:lineRule="auto"/>
        <w:rPr>
          <w:sz w:val="20"/>
          <w:szCs w:val="20"/>
          <w:color w:val="auto"/>
        </w:rPr>
      </w:pPr>
      <w:r>
        <w:rPr>
          <w:rFonts w:ascii="Times New Roman" w:cs="Times New Roman" w:eastAsia="Times New Roman" w:hAnsi="Times New Roman"/>
          <w:sz w:val="14"/>
          <w:szCs w:val="14"/>
          <w:color w:val="auto"/>
        </w:rPr>
        <w:t>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The SEC also maintains a website at www.sec.gov that contains reports, proxy and information statements, and other information regarding registrants that make electronic filings with the SEC using its EDGAR system. Such information can also be found on our investor relations website at https://investor.chagee.com. The information contained on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 w:name="page10"/>
    <w:bookmarkEnd w:id="9"/>
    <w:p>
      <w:pPr>
        <w:ind w:left="2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9" w:lineRule="exact"/>
        <w:rPr>
          <w:sz w:val="20"/>
          <w:szCs w:val="20"/>
          <w:color w:val="auto"/>
        </w:rPr>
      </w:pPr>
    </w:p>
    <w:p>
      <w:pPr>
        <w:ind w:left="1260" w:right="1299" w:firstLine="284"/>
        <w:spacing w:after="0" w:line="266" w:lineRule="auto"/>
        <w:rPr>
          <w:rFonts w:ascii="Times New Roman" w:cs="Times New Roman" w:eastAsia="Times New Roman" w:hAnsi="Times New Roman"/>
          <w:sz w:val="14"/>
          <w:szCs w:val="14"/>
          <w:color w:val="0000EE"/>
        </w:rPr>
      </w:pPr>
      <w:hyperlink r:id="rId37">
        <w:r>
          <w:rPr>
            <w:rFonts w:ascii="Times New Roman" w:cs="Times New Roman" w:eastAsia="Times New Roman" w:hAnsi="Times New Roman"/>
            <w:sz w:val="14"/>
            <w:szCs w:val="14"/>
            <w:color w:val="auto"/>
          </w:rPr>
          <w:t xml:space="preserve">Please see the factors set forth under “Item 3. Key Information — D. Risk Factors” in </w:t>
        </w:r>
        <w:r>
          <w:rPr>
            <w:rFonts w:ascii="Times New Roman" w:cs="Times New Roman" w:eastAsia="Times New Roman" w:hAnsi="Times New Roman"/>
            <w:sz w:val="14"/>
            <w:szCs w:val="14"/>
            <w:u w:val="single" w:color="auto"/>
            <w:color w:val="0000EE"/>
          </w:rPr>
          <w:t>our annual report</w:t>
        </w:r>
      </w:hyperlink>
      <w:r>
        <w:rPr>
          <w:rFonts w:ascii="Times New Roman" w:cs="Times New Roman" w:eastAsia="Times New Roman" w:hAnsi="Times New Roman"/>
          <w:sz w:val="14"/>
          <w:szCs w:val="14"/>
          <w:color w:val="auto"/>
        </w:rPr>
        <w:t xml:space="preserve"> </w:t>
      </w:r>
      <w:hyperlink r:id="rId37">
        <w:r>
          <w:rPr>
            <w:rFonts w:ascii="Times New Roman" w:cs="Times New Roman" w:eastAsia="Times New Roman" w:hAnsi="Times New Roman"/>
            <w:sz w:val="14"/>
            <w:szCs w:val="14"/>
            <w:u w:val="single" w:color="auto"/>
            <w:color w:val="0000EE"/>
          </w:rPr>
          <w:t>on Form 20-F for the year ended December 31, 2025</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which is incorporated by reference in this prospectus,</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 any accompanying prospectus supplement before investing in any securities that may be offered pursuant to this prospectus.</w:t>
      </w:r>
    </w:p>
    <w:p>
      <w:pPr>
        <w:spacing w:after="0" w:line="86" w:lineRule="exact"/>
        <w:rPr>
          <w:sz w:val="20"/>
          <w:szCs w:val="20"/>
          <w:color w:val="auto"/>
        </w:rPr>
      </w:pPr>
    </w:p>
    <w:p>
      <w:pPr>
        <w:ind w:left="1260" w:right="1279" w:firstLine="284"/>
        <w:spacing w:after="0" w:line="259" w:lineRule="auto"/>
        <w:rPr>
          <w:sz w:val="20"/>
          <w:szCs w:val="20"/>
          <w:color w:val="auto"/>
        </w:rPr>
      </w:pPr>
      <w:r>
        <w:rPr>
          <w:rFonts w:ascii="Times New Roman" w:cs="Times New Roman" w:eastAsia="Times New Roman" w:hAnsi="Times New Roman"/>
          <w:sz w:val="14"/>
          <w:szCs w:val="14"/>
          <w:color w:val="auto"/>
        </w:rPr>
        <w:t>The risks and uncertainties described in this prospectus, any applicable prospectus supplement or other offering materials as well as the documents incorporated by reference herein are not the only ones we face. Additional risks and uncertainties that we do not presently know about or that we currently believe are not material may also adversely affect our business. If any of the risks and uncertainties described in this prospectus, any applicable prospectus supplement or other offering materials as well as the documents incorporated by reference herein actually occur, our business, financial condition and results of operations could be adversely affected in a material way. The occurrence of any of these risks may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 w:name="page11"/>
    <w:bookmarkEnd w:id="10"/>
    <w:p>
      <w:pPr>
        <w:ind w:left="2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9" w:lineRule="exact"/>
        <w:rPr>
          <w:sz w:val="20"/>
          <w:szCs w:val="20"/>
          <w:color w:val="auto"/>
        </w:rPr>
      </w:pPr>
    </w:p>
    <w:p>
      <w:pPr>
        <w:ind w:left="1260" w:right="1299" w:firstLine="284"/>
        <w:spacing w:after="0" w:line="272" w:lineRule="auto"/>
        <w:rPr>
          <w:sz w:val="20"/>
          <w:szCs w:val="20"/>
          <w:color w:val="auto"/>
        </w:rPr>
      </w:pPr>
      <w:r>
        <w:rPr>
          <w:rFonts w:ascii="Times New Roman" w:cs="Times New Roman" w:eastAsia="Times New Roman" w:hAnsi="Times New Roman"/>
          <w:sz w:val="14"/>
          <w:szCs w:val="14"/>
          <w:color w:val="auto"/>
        </w:rPr>
        <w:t>We intend to use the net proceeds from the sale of the securities we offer as set forth in the applicable prospectus supplement(s). The specific allocations of the proceeds we receive from the sale of our securities will be described in the applicable prospectus supplement(s).</w:t>
      </w:r>
    </w:p>
    <w:p>
      <w:pPr>
        <w:spacing w:after="0" w:line="82" w:lineRule="exact"/>
        <w:rPr>
          <w:sz w:val="20"/>
          <w:szCs w:val="20"/>
          <w:color w:val="auto"/>
        </w:rPr>
      </w:pPr>
    </w:p>
    <w:p>
      <w:pPr>
        <w:ind w:left="1260" w:right="1379" w:firstLine="284"/>
        <w:spacing w:after="0" w:line="289" w:lineRule="auto"/>
        <w:rPr>
          <w:sz w:val="20"/>
          <w:szCs w:val="20"/>
          <w:color w:val="auto"/>
        </w:rPr>
      </w:pPr>
      <w:r>
        <w:rPr>
          <w:rFonts w:ascii="Times New Roman" w:cs="Times New Roman" w:eastAsia="Times New Roman" w:hAnsi="Times New Roman"/>
          <w:sz w:val="14"/>
          <w:szCs w:val="14"/>
          <w:color w:val="auto"/>
        </w:rPr>
        <w:t>We will not receive any proceeds from the sale of Class A ordinary shares (or ADSs representing such shares) by the selling shareholders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 w:name="page12"/>
    <w:bookmarkEnd w:id="11"/>
    <w:p>
      <w:pPr>
        <w:ind w:left="2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SHARE CAPITAL</w:t>
      </w:r>
    </w:p>
    <w:p>
      <w:pPr>
        <w:spacing w:after="0" w:line="129" w:lineRule="exact"/>
        <w:rPr>
          <w:sz w:val="20"/>
          <w:szCs w:val="20"/>
          <w:color w:val="auto"/>
        </w:rPr>
      </w:pPr>
    </w:p>
    <w:p>
      <w:pPr>
        <w:jc w:val="both"/>
        <w:ind w:left="1260" w:right="1359" w:firstLine="284"/>
        <w:spacing w:after="0" w:line="272" w:lineRule="auto"/>
        <w:rPr>
          <w:sz w:val="20"/>
          <w:szCs w:val="20"/>
          <w:color w:val="auto"/>
        </w:rPr>
      </w:pPr>
      <w:r>
        <w:rPr>
          <w:rFonts w:ascii="Times New Roman" w:cs="Times New Roman" w:eastAsia="Times New Roman" w:hAnsi="Times New Roman"/>
          <w:sz w:val="14"/>
          <w:szCs w:val="14"/>
          <w:color w:val="auto"/>
        </w:rPr>
        <w:t>We are a Cayman Islands company and our corporate affairs are governed by our fourth amended and restated memorandum and articles of association and by the Companies Act (As Revised) and common law of the Cayman Islands.</w:t>
      </w:r>
    </w:p>
    <w:p>
      <w:pPr>
        <w:spacing w:after="0" w:line="82" w:lineRule="exact"/>
        <w:rPr>
          <w:sz w:val="20"/>
          <w:szCs w:val="20"/>
          <w:color w:val="auto"/>
        </w:rPr>
      </w:pPr>
    </w:p>
    <w:p>
      <w:pPr>
        <w:ind w:left="1260" w:right="1359" w:firstLine="284"/>
        <w:spacing w:after="0" w:line="261" w:lineRule="auto"/>
        <w:rPr>
          <w:sz w:val="20"/>
          <w:szCs w:val="20"/>
          <w:color w:val="auto"/>
        </w:rPr>
      </w:pPr>
      <w:r>
        <w:rPr>
          <w:rFonts w:ascii="Times New Roman" w:cs="Times New Roman" w:eastAsia="Times New Roman" w:hAnsi="Times New Roman"/>
          <w:sz w:val="14"/>
          <w:szCs w:val="14"/>
          <w:color w:val="auto"/>
        </w:rPr>
        <w:t>As of the date of this prospectus, our authorized share capital is US$80,000 divided into ordinary shares of a par value of US$0.0001 each, comprising (a) 700,000,000 Class A Ordinary Shares of par value of US$0.0001 each, (b) 80,000,000 Class B Ordinary Shares of par value of US$0.0001 each, and</w:t>
      </w:r>
    </w:p>
    <w:p>
      <w:pPr>
        <w:spacing w:after="0" w:line="1" w:lineRule="exact"/>
        <w:rPr>
          <w:sz w:val="20"/>
          <w:szCs w:val="20"/>
          <w:color w:val="auto"/>
        </w:rPr>
      </w:pPr>
    </w:p>
    <w:p>
      <w:pPr>
        <w:ind w:left="1260" w:right="1359" w:firstLine="1"/>
        <w:spacing w:after="0" w:line="261" w:lineRule="auto"/>
        <w:tabs>
          <w:tab w:leader="none" w:pos="146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20,000,000 shares of par value of US$0.0001 each of such Class or Classes (however designated) as the Board may determine in accordance with our fourth amended and restated memorandum and articles of association.</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Our Memorandum and Articles of Association</w:t>
      </w:r>
    </w:p>
    <w:p>
      <w:pPr>
        <w:spacing w:after="0" w:line="118" w:lineRule="exact"/>
        <w:rPr>
          <w:sz w:val="20"/>
          <w:szCs w:val="20"/>
          <w:color w:val="auto"/>
        </w:rPr>
      </w:pPr>
    </w:p>
    <w:p>
      <w:pPr>
        <w:ind w:left="1260" w:right="1739" w:firstLine="284"/>
        <w:spacing w:after="0" w:line="289" w:lineRule="auto"/>
        <w:rPr>
          <w:sz w:val="20"/>
          <w:szCs w:val="20"/>
          <w:color w:val="auto"/>
        </w:rPr>
      </w:pPr>
      <w:r>
        <w:rPr>
          <w:rFonts w:ascii="Times New Roman" w:cs="Times New Roman" w:eastAsia="Times New Roman" w:hAnsi="Times New Roman"/>
          <w:sz w:val="14"/>
          <w:szCs w:val="14"/>
          <w:color w:val="auto"/>
        </w:rPr>
        <w:t>The following are summaries of material provisions of our currently effective memorandum and articles of association, insofar as they relate to the material terms of our shares.</w:t>
      </w:r>
    </w:p>
    <w:p>
      <w:pPr>
        <w:spacing w:after="0" w:line="69" w:lineRule="exact"/>
        <w:rPr>
          <w:sz w:val="20"/>
          <w:szCs w:val="20"/>
          <w:color w:val="auto"/>
        </w:rPr>
      </w:pPr>
    </w:p>
    <w:p>
      <w:pPr>
        <w:ind w:left="1260" w:right="1279" w:firstLine="284"/>
        <w:spacing w:after="0" w:line="262" w:lineRule="auto"/>
        <w:rPr>
          <w:sz w:val="20"/>
          <w:szCs w:val="20"/>
          <w:color w:val="auto"/>
        </w:rPr>
      </w:pP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Our ordinary shares are divided into Class A ordinary shares and Class B ordinary shares.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Except for conversion rights and voting rights, the Class A ordinary shares and Class B ordinary shares shall carry equal rights and rank pari passu with one another, including but not limited to the rights to dividends and other capital distributions. Our ordinary shares are issued in registered form, and are issued when registered in our register of members (shareholders). Our shareholders who are non-residents of the Cayman Islands may freely hold and vote their shares.</w:t>
      </w:r>
    </w:p>
    <w:p>
      <w:pPr>
        <w:spacing w:after="0" w:line="87" w:lineRule="exact"/>
        <w:rPr>
          <w:sz w:val="20"/>
          <w:szCs w:val="20"/>
          <w:color w:val="auto"/>
        </w:rPr>
      </w:pPr>
    </w:p>
    <w:p>
      <w:pPr>
        <w:ind w:left="1260" w:right="1279" w:firstLine="284"/>
        <w:spacing w:after="0" w:line="259"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The holders of our ordinary shares are entitled to such dividends as may be declared by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board of directors subject to our amended and restated memorandum and articles of association and the Companies Act. Our fourth amended and restated memorandum and articles of association provide that dividends may be declared and paid out of our profits, realized or unrealized, or as otherwise permitted under the Companies Act. Dividends may also be declared and paid out of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spacing w:after="0" w:line="253" w:lineRule="exact"/>
        <w:rPr>
          <w:sz w:val="20"/>
          <w:szCs w:val="20"/>
          <w:color w:val="auto"/>
        </w:rPr>
      </w:pPr>
    </w:p>
    <w:p>
      <w:pPr>
        <w:ind w:left="1260" w:right="1279" w:firstLine="284"/>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Conversion Rights. </w:t>
      </w:r>
      <w:r>
        <w:rPr>
          <w:rFonts w:ascii="Times New Roman" w:cs="Times New Roman" w:eastAsia="Times New Roman" w:hAnsi="Times New Roman"/>
          <w:sz w:val="14"/>
          <w:szCs w:val="14"/>
          <w:color w:val="auto"/>
        </w:rPr>
        <w:t>Each Class B ordinary share is convertible into one (1) Class A ordinary share 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time by the holder thereof. The right to convert shall be exercisable by the holder of the Class B ordinary share delivering a written notice to our company that such holder elects to convert a specified number of Class B ordinary shares into Class A ordinary shares. In no event shall Class A ordinary shares be convertible into Class B ordinary shares.</w:t>
      </w:r>
    </w:p>
    <w:p>
      <w:pPr>
        <w:spacing w:after="0" w:line="87" w:lineRule="exact"/>
        <w:rPr>
          <w:sz w:val="20"/>
          <w:szCs w:val="20"/>
          <w:color w:val="auto"/>
        </w:rPr>
      </w:pPr>
    </w:p>
    <w:p>
      <w:pPr>
        <w:ind w:left="1260" w:right="1279" w:firstLine="284"/>
        <w:spacing w:after="0" w:line="256" w:lineRule="auto"/>
        <w:rPr>
          <w:sz w:val="20"/>
          <w:szCs w:val="20"/>
          <w:color w:val="auto"/>
        </w:rPr>
      </w:pPr>
      <w:r>
        <w:rPr>
          <w:rFonts w:ascii="Times New Roman" w:cs="Times New Roman" w:eastAsia="Times New Roman" w:hAnsi="Times New Roman"/>
          <w:sz w:val="14"/>
          <w:szCs w:val="14"/>
          <w:color w:val="auto"/>
        </w:rPr>
        <w:t>In addition, as provided in Article 59(d)(ii) of our fourth amended and restated memorandum and articles of association, upon any sale, transfer, assignment or disposition of Class B ordinary shares by a holder thereof to any person which is not an Affiliate (as defined in the fourth amended and restated memorandum and articles of association) of Mr. Junjie Zhang, or upon a change of beneficial ownership of any Class B ordinary shares as a result of which any person who is not an Affiliate of Mr. Junjie Zhang becomes a beneficial owner of such ordinary shares, such Class B ordinary shares shall be automatically and immediately converted into an equal number of Class A ordinary shares. For the avoidance of doubt, (i) a sale, transfer, assignment or disposition shall be effective upon our registration of such sale, transfer, assignment or disposition in the register of members; (ii) the creation of any pledge, charge, encumbrance or other third- party right of whatever description on any Class B ordinary shares to secure any contractual or legal obligations shall not be deemed as a sale, transfer, assignment or disposition for the purpose of this Article unless and until any such pledge, charge, encumbrance or other third-party right is enforced and results in the third party who is not an Affiliate of Mr. Junjie Zhang becoming a beneficial owner of the relevant Class B ordinary shares in which case all the related Class B ordinary shares shall be automatically and immediately converted into the same number of Class A ordinary shares, and (iii) any sale, transfer, assignment or disposition of any Class B ordinary shares by a holder thereof to any person which is an</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 w:name="page13"/>
    <w:bookmarkEnd w:id="12"/>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60" w:right="1319"/>
        <w:spacing w:after="0" w:line="289" w:lineRule="auto"/>
        <w:rPr>
          <w:sz w:val="20"/>
          <w:szCs w:val="20"/>
          <w:color w:val="auto"/>
        </w:rPr>
      </w:pPr>
      <w:r>
        <w:rPr>
          <w:rFonts w:ascii="Times New Roman" w:cs="Times New Roman" w:eastAsia="Times New Roman" w:hAnsi="Times New Roman"/>
          <w:sz w:val="14"/>
          <w:szCs w:val="14"/>
          <w:color w:val="auto"/>
        </w:rPr>
        <w:t>Affiliate of Mr. Junjie Zhang shall not trigger the automatic conversion of such Class B ordinary shares into Class A ordinary shares as contemplated under this Article.</w:t>
      </w:r>
    </w:p>
    <w:p>
      <w:pPr>
        <w:spacing w:after="0" w:line="69" w:lineRule="exact"/>
        <w:rPr>
          <w:sz w:val="20"/>
          <w:szCs w:val="20"/>
          <w:color w:val="auto"/>
        </w:rPr>
      </w:pPr>
    </w:p>
    <w:p>
      <w:pPr>
        <w:ind w:left="1260" w:right="1299" w:firstLine="284"/>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Voting Rights. </w:t>
      </w:r>
      <w:r>
        <w:rPr>
          <w:rFonts w:ascii="Times New Roman" w:cs="Times New Roman" w:eastAsia="Times New Roman" w:hAnsi="Times New Roman"/>
          <w:sz w:val="14"/>
          <w:szCs w:val="14"/>
          <w:color w:val="auto"/>
        </w:rPr>
        <w:t>In respect of all matters subject to a shareholders’ vote, holders of Class A ordinary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and Class B ordinary shares shall, at all times, vote together as one class on all matters submitted to a vote by the members at any such general meeting. Each Class A ordinary share shall be entitled to one vote on all matters subject to the vote at general meetings of our company, and each Class B ordinary share shall be entitled to ten (10) votes on all matters subject to the vote at general meetings (including extraordinary general meetings) of our company. Voting at any meeting of shareholders shall be determined by poll and not on a show of hands.</w:t>
      </w:r>
    </w:p>
    <w:p>
      <w:pPr>
        <w:spacing w:after="0" w:line="264" w:lineRule="exact"/>
        <w:rPr>
          <w:sz w:val="20"/>
          <w:szCs w:val="20"/>
          <w:color w:val="auto"/>
        </w:rPr>
      </w:pPr>
    </w:p>
    <w:p>
      <w:pPr>
        <w:ind w:left="1260" w:right="1279" w:firstLine="284"/>
        <w:spacing w:after="0" w:line="259" w:lineRule="auto"/>
        <w:rPr>
          <w:sz w:val="20"/>
          <w:szCs w:val="20"/>
          <w:color w:val="auto"/>
        </w:rPr>
      </w:pPr>
      <w:r>
        <w:rPr>
          <w:rFonts w:ascii="Times New Roman" w:cs="Times New Roman" w:eastAsia="Times New Roman" w:hAnsi="Times New Roman"/>
          <w:sz w:val="14"/>
          <w:szCs w:val="14"/>
          <w:color w:val="auto"/>
        </w:rPr>
        <w:t>An ordinary resolution to be passed at a meeting by the shareholders requires the affirmative vote of a simple majority of all votes, calculated on a fully converted basis, cast by those shareholders entitled to vote who are present in person or by proxy at a general meeting, while a special resolution requires the affirmative vote of no less than two-thirds of all votes, calculated on a fully converted basis, cast by those shareholders entitled to vote who are present in person or by proxy at a general meeting. Under the Companies Act, a special resolution will be required in order for our company to effect certain important matters as stipulated in the Companies Act, such as a change of name or making changes to our fourth amended and restated memorandum and articles of association.</w:t>
      </w:r>
    </w:p>
    <w:p>
      <w:pPr>
        <w:spacing w:after="0" w:line="254" w:lineRule="exact"/>
        <w:rPr>
          <w:sz w:val="20"/>
          <w:szCs w:val="20"/>
          <w:color w:val="auto"/>
        </w:rPr>
      </w:pPr>
    </w:p>
    <w:p>
      <w:pPr>
        <w:ind w:left="1260" w:right="1279" w:firstLine="284"/>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General Meetings of Shareholders. </w:t>
      </w:r>
      <w:r>
        <w:rPr>
          <w:rFonts w:ascii="Times New Roman" w:cs="Times New Roman" w:eastAsia="Times New Roman" w:hAnsi="Times New Roman"/>
          <w:sz w:val="14"/>
          <w:szCs w:val="14"/>
          <w:color w:val="auto"/>
        </w:rPr>
        <w:t>A quorum required for a meeting of shareholders consists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shareholders holding a majority of all votes attaching to the issued and outstanding shares entitled to vote at general meetings present in person or by proxy or, if a corporation or other non-natural person, by its duly authorized representative. Our fourth amended and restated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one-third of all votes attaching to the issued and outstanding shares entitled to vote at general meetings, in which case the directors are obliged to call such meeting and to put the resolutions so requisitioned to a vote at such meeting; however, our fourth amended and restated memorandum and articles of association do not provide our shareholders with any right to put any proposals before annual general meetings or extraordinary general meetings not called by such shareholders. Advance notice of at least seven</w:t>
      </w:r>
    </w:p>
    <w:p>
      <w:pPr>
        <w:spacing w:after="0" w:line="1" w:lineRule="exact"/>
        <w:rPr>
          <w:sz w:val="20"/>
          <w:szCs w:val="20"/>
          <w:color w:val="auto"/>
        </w:rPr>
      </w:pPr>
    </w:p>
    <w:p>
      <w:pPr>
        <w:ind w:left="1260" w:right="1499" w:firstLine="1"/>
        <w:spacing w:after="0" w:line="268" w:lineRule="auto"/>
        <w:tabs>
          <w:tab w:leader="none" w:pos="147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days is required for the convening of our annual general meeting and other general meetings unless such notice is waived in accordance with our articles of association.</w:t>
      </w:r>
    </w:p>
    <w:p>
      <w:pPr>
        <w:spacing w:after="0" w:line="83" w:lineRule="exact"/>
        <w:rPr>
          <w:sz w:val="20"/>
          <w:szCs w:val="20"/>
          <w:color w:val="auto"/>
        </w:rPr>
      </w:pPr>
    </w:p>
    <w:p>
      <w:pPr>
        <w:ind w:left="1260" w:right="1339" w:firstLine="284"/>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Transfer of Ordinary Shares. </w:t>
      </w:r>
      <w:r>
        <w:rPr>
          <w:rFonts w:ascii="Times New Roman" w:cs="Times New Roman" w:eastAsia="Times New Roman" w:hAnsi="Times New Roman"/>
          <w:sz w:val="14"/>
          <w:szCs w:val="14"/>
          <w:color w:val="auto"/>
        </w:rPr>
        <w:t>Subject to the restrictions in our fourth amended and restated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memorandum and articles of association as set out below, any of our shareholders may transfer all or any of his or her ordinary shares by an instrument of transfer in the usual or common form or any other form approved by our board of directors.</w:t>
      </w:r>
    </w:p>
    <w:p>
      <w:pPr>
        <w:spacing w:after="0" w:line="86" w:lineRule="exact"/>
        <w:rPr>
          <w:sz w:val="20"/>
          <w:szCs w:val="20"/>
          <w:color w:val="auto"/>
        </w:rPr>
      </w:pPr>
    </w:p>
    <w:p>
      <w:pPr>
        <w:ind w:left="1260" w:right="1479" w:firstLine="284"/>
        <w:spacing w:after="0" w:line="272" w:lineRule="auto"/>
        <w:rPr>
          <w:sz w:val="20"/>
          <w:szCs w:val="20"/>
          <w:color w:val="auto"/>
        </w:rPr>
      </w:pPr>
      <w:r>
        <w:rPr>
          <w:rFonts w:ascii="Times New Roman" w:cs="Times New Roman" w:eastAsia="Times New Roman" w:hAnsi="Times New Roman"/>
          <w:sz w:val="14"/>
          <w:szCs w:val="14"/>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50" w:lineRule="exact"/>
        <w:rPr>
          <w:sz w:val="20"/>
          <w:szCs w:val="20"/>
          <w:color w:val="auto"/>
        </w:rPr>
      </w:pPr>
    </w:p>
    <w:p>
      <w:pPr>
        <w:jc w:val="both"/>
        <w:ind w:left="1680" w:right="1279" w:hanging="135"/>
        <w:spacing w:after="0" w:line="272" w:lineRule="auto"/>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0"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in respect of only one class of shares;</w:t>
      </w:r>
    </w:p>
    <w:p>
      <w:pPr>
        <w:spacing w:after="0" w:line="95"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properly stamped, if required;</w:t>
      </w:r>
    </w:p>
    <w:p>
      <w:pPr>
        <w:spacing w:after="0" w:line="95" w:lineRule="exact"/>
        <w:rPr>
          <w:rFonts w:ascii="Times New Roman" w:cs="Times New Roman" w:eastAsia="Times New Roman" w:hAnsi="Times New Roman"/>
          <w:sz w:val="14"/>
          <w:szCs w:val="14"/>
          <w:color w:val="auto"/>
        </w:rPr>
      </w:pPr>
    </w:p>
    <w:p>
      <w:pPr>
        <w:ind w:left="1680" w:right="1319" w:hanging="135"/>
        <w:spacing w:after="0" w:line="289" w:lineRule="auto"/>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transfer to joint holders, the number of joint holders to whom the ordinary share is to be transferred does not exceed four;</w:t>
      </w:r>
    </w:p>
    <w:p>
      <w:pPr>
        <w:spacing w:after="0" w:line="39"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are free from any lien in favor of our company; and</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 w:name="page14"/>
    <w:bookmarkEnd w:id="13"/>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80" w:right="1499" w:hanging="135"/>
        <w:spacing w:after="0" w:line="289" w:lineRule="auto"/>
        <w:tabs>
          <w:tab w:leader="none" w:pos="16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fee of such maximum sum as the Nasdaq may determine to be payable or such lesser sum as our directors may from time to time require is paid to us in respect thereof.</w:t>
      </w:r>
    </w:p>
    <w:p>
      <w:pPr>
        <w:spacing w:after="0" w:line="71" w:lineRule="exact"/>
        <w:rPr>
          <w:sz w:val="20"/>
          <w:szCs w:val="20"/>
          <w:color w:val="auto"/>
        </w:rPr>
      </w:pPr>
    </w:p>
    <w:p>
      <w:pPr>
        <w:ind w:left="1260" w:right="1339" w:firstLine="284"/>
        <w:spacing w:after="0" w:line="293" w:lineRule="auto"/>
        <w:rPr>
          <w:sz w:val="20"/>
          <w:szCs w:val="20"/>
          <w:color w:val="auto"/>
        </w:rPr>
      </w:pPr>
      <w:r>
        <w:rPr>
          <w:rFonts w:ascii="Times New Roman" w:cs="Times New Roman" w:eastAsia="Times New Roman" w:hAnsi="Times New Roman"/>
          <w:sz w:val="14"/>
          <w:szCs w:val="14"/>
          <w:color w:val="auto"/>
        </w:rPr>
        <w:t>If our directors refuse to register a transfer they shall, within two calendar months after the date on which the instrument of transfer was lodged, send to each of the transferor and the transferee notice of such refusal.</w:t>
      </w:r>
    </w:p>
    <w:p>
      <w:pPr>
        <w:spacing w:after="0" w:line="258" w:lineRule="exact"/>
        <w:rPr>
          <w:sz w:val="20"/>
          <w:szCs w:val="20"/>
          <w:color w:val="auto"/>
        </w:rPr>
      </w:pPr>
    </w:p>
    <w:p>
      <w:pPr>
        <w:ind w:left="1260" w:right="1439" w:firstLine="284"/>
        <w:spacing w:after="0" w:line="276" w:lineRule="auto"/>
        <w:rPr>
          <w:sz w:val="20"/>
          <w:szCs w:val="20"/>
          <w:color w:val="auto"/>
        </w:rPr>
      </w:pPr>
      <w:r>
        <w:rPr>
          <w:rFonts w:ascii="Times New Roman" w:cs="Times New Roman" w:eastAsia="Times New Roman" w:hAnsi="Times New Roman"/>
          <w:sz w:val="14"/>
          <w:szCs w:val="14"/>
          <w:color w:val="auto"/>
        </w:rPr>
        <w:t xml:space="preserve">The registration of transfers may, after compliance with any notice required of the Nasdaq, be suspended and the register closed at such times and for such periods as our board of directors may from time to time determine,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registration of transfers shall not be suspended nor the register closed for more than 30 days in any year as our board may determine.</w:t>
      </w:r>
    </w:p>
    <w:p>
      <w:pPr>
        <w:spacing w:after="0" w:line="79" w:lineRule="exact"/>
        <w:rPr>
          <w:sz w:val="20"/>
          <w:szCs w:val="20"/>
          <w:color w:val="auto"/>
        </w:rPr>
      </w:pPr>
    </w:p>
    <w:p>
      <w:pPr>
        <w:ind w:left="1260" w:right="1359" w:firstLine="284"/>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Liquidation. </w:t>
      </w:r>
      <w:r>
        <w:rPr>
          <w:rFonts w:ascii="Times New Roman" w:cs="Times New Roman" w:eastAsia="Times New Roman" w:hAnsi="Times New Roman"/>
          <w:sz w:val="14"/>
          <w:szCs w:val="14"/>
          <w:color w:val="auto"/>
        </w:rPr>
        <w:t>On a return of capital on winding up or otherwise (other than on conversion, redemption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purchase of ordinary shares),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as nearly as may be, the losses are borne by our shareholders in proportion to the par value of the shares held by them. Any distribution of assets or capital to a holder of ordinary share will be the same in any liquidation event.</w:t>
      </w:r>
    </w:p>
    <w:p>
      <w:pPr>
        <w:spacing w:after="0" w:line="264" w:lineRule="exact"/>
        <w:rPr>
          <w:sz w:val="20"/>
          <w:szCs w:val="20"/>
          <w:color w:val="auto"/>
        </w:rPr>
      </w:pPr>
    </w:p>
    <w:p>
      <w:pPr>
        <w:ind w:left="1260" w:right="1279" w:firstLine="284"/>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Calls on Ordinary Shares and Forfeiture of Ordinary Shares. </w:t>
      </w:r>
      <w:r>
        <w:rPr>
          <w:rFonts w:ascii="Times New Roman" w:cs="Times New Roman" w:eastAsia="Times New Roman" w:hAnsi="Times New Roman"/>
          <w:sz w:val="14"/>
          <w:szCs w:val="14"/>
          <w:color w:val="auto"/>
        </w:rPr>
        <w:t>Our board of directors may from time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time make calls upon shareholders for any amounts unpaid on their ordinary shares in a notice served to such shareholders at least 14 clear days prior to the specified time of payment. The ordinary shares that have been called upon and remain unpaid are subject to forfeiture.</w:t>
      </w:r>
    </w:p>
    <w:p>
      <w:pPr>
        <w:spacing w:after="0" w:line="84" w:lineRule="exact"/>
        <w:rPr>
          <w:sz w:val="20"/>
          <w:szCs w:val="20"/>
          <w:color w:val="auto"/>
        </w:rPr>
      </w:pPr>
    </w:p>
    <w:p>
      <w:pPr>
        <w:ind w:left="1260" w:right="1279" w:firstLine="284"/>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Redemption, Repurchase and Surrender of Ordinary Shares. </w:t>
      </w:r>
      <w:r>
        <w:rPr>
          <w:rFonts w:ascii="Times New Roman" w:cs="Times New Roman" w:eastAsia="Times New Roman" w:hAnsi="Times New Roman"/>
          <w:sz w:val="14"/>
          <w:szCs w:val="14"/>
          <w:color w:val="auto"/>
        </w:rPr>
        <w:t>We may issue shares on terms that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are subject to redemption, at our option or at the option of the holders thereof, on such terms and in such manner as may be determined, before the issue of such shares, by our board of directors. Our company may also repurchase any of our shares provided that the manner and terms of such purchase have been approved by our board of directors, or are otherwise authorized by our fourth amended and restated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257" w:lineRule="exact"/>
        <w:rPr>
          <w:sz w:val="20"/>
          <w:szCs w:val="20"/>
          <w:color w:val="auto"/>
        </w:rPr>
      </w:pPr>
    </w:p>
    <w:p>
      <w:pPr>
        <w:ind w:left="1260" w:right="1279" w:firstLine="284"/>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Variations of Rights of Shares. </w:t>
      </w:r>
      <w:r>
        <w:rPr>
          <w:rFonts w:ascii="Times New Roman" w:cs="Times New Roman" w:eastAsia="Times New Roman" w:hAnsi="Times New Roman"/>
          <w:sz w:val="14"/>
          <w:szCs w:val="14"/>
          <w:color w:val="auto"/>
        </w:rPr>
        <w:t>If at any time our share capital is divided into different classes or series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shares, the rights attached to any class or series of shares (unless otherwise provided by the terms of issue of the shares of that class or series), whether or not our company is being wound-up, may be varied with the consent in writing of the holders of not less than a majority of the issued shares of that class or series or with the sanction of a special resolution at a separate meeting of the holders of the shares of the class or series. The rights conferred upon the holders of the shares of any class issued shall not, subject to any rights or restrictions for the time being attached to the shares of that class, be deemed to be varied by the creation or issue of further shares ranking pari passu therewith or with preferred or other rights including, without limitation, the creation of shares with enhanced or weighted voting rights.</w:t>
      </w:r>
    </w:p>
    <w:p>
      <w:pPr>
        <w:spacing w:after="0" w:line="90" w:lineRule="exact"/>
        <w:rPr>
          <w:sz w:val="20"/>
          <w:szCs w:val="20"/>
          <w:color w:val="auto"/>
        </w:rPr>
      </w:pPr>
    </w:p>
    <w:p>
      <w:pPr>
        <w:ind w:left="1260" w:right="1339" w:firstLine="284"/>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Inspection of Books and Records. </w:t>
      </w:r>
      <w:r>
        <w:rPr>
          <w:rFonts w:ascii="Times New Roman" w:cs="Times New Roman" w:eastAsia="Times New Roman" w:hAnsi="Times New Roman"/>
          <w:sz w:val="14"/>
          <w:szCs w:val="14"/>
          <w:color w:val="auto"/>
        </w:rPr>
        <w:t>Holders of our ordinary shares have no general right under Cayman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Islands law to inspect or obtain copies of our list of shareholders or our corporate records (other than our memorandum and articles of association, special resolutions, and our register of mortgages and charges). However, we will provide our shareholders with annual audited financial statements.</w:t>
      </w: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205740</wp:posOffset>
            </wp:positionV>
            <wp:extent cx="539813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4" w:name="page15"/>
    <w:bookmarkEnd w:id="14"/>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Shareholders Agreement</w:t>
      </w:r>
    </w:p>
    <w:p>
      <w:pPr>
        <w:spacing w:after="0" w:line="129" w:lineRule="exact"/>
        <w:rPr>
          <w:sz w:val="20"/>
          <w:szCs w:val="20"/>
          <w:color w:val="auto"/>
        </w:rPr>
      </w:pPr>
    </w:p>
    <w:p>
      <w:pPr>
        <w:ind w:left="1260" w:right="1299" w:firstLine="284"/>
        <w:spacing w:after="0" w:line="273" w:lineRule="auto"/>
        <w:rPr>
          <w:sz w:val="20"/>
          <w:szCs w:val="20"/>
          <w:color w:val="auto"/>
        </w:rPr>
      </w:pPr>
      <w:r>
        <w:rPr>
          <w:rFonts w:ascii="Times New Roman" w:cs="Times New Roman" w:eastAsia="Times New Roman" w:hAnsi="Times New Roman"/>
          <w:sz w:val="14"/>
          <w:szCs w:val="14"/>
          <w:color w:val="auto"/>
        </w:rPr>
        <w:t>Our currently effective shareholders agreement was entered into on July 20, 2023 by and among us, our shareholders, and certain other parties named therein.</w:t>
      </w:r>
    </w:p>
    <w:p>
      <w:pPr>
        <w:spacing w:after="0" w:line="1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w:t>
      </w:r>
    </w:p>
    <w:p>
      <w:pPr>
        <w:spacing w:after="0" w:line="120" w:lineRule="exact"/>
        <w:rPr>
          <w:sz w:val="20"/>
          <w:szCs w:val="20"/>
          <w:color w:val="auto"/>
        </w:rPr>
      </w:pPr>
    </w:p>
    <w:p>
      <w:pPr>
        <w:ind w:left="1260" w:right="1679" w:firstLine="284"/>
        <w:spacing w:after="0" w:line="264" w:lineRule="auto"/>
        <w:rPr>
          <w:sz w:val="20"/>
          <w:szCs w:val="20"/>
          <w:color w:val="auto"/>
        </w:rPr>
      </w:pPr>
      <w:r>
        <w:rPr>
          <w:rFonts w:ascii="Times New Roman" w:cs="Times New Roman" w:eastAsia="Times New Roman" w:hAnsi="Times New Roman"/>
          <w:sz w:val="14"/>
          <w:szCs w:val="14"/>
          <w:color w:val="auto"/>
        </w:rPr>
        <w:t>Pursuant to the current shareholders agreement, we have granted certain registration rights to our shareholders. Set forth below is a description of the registration rights granted under the current shareholders agreement.</w:t>
      </w:r>
    </w:p>
    <w:p>
      <w:pPr>
        <w:spacing w:after="0" w:line="75" w:lineRule="exact"/>
        <w:rPr>
          <w:sz w:val="20"/>
          <w:szCs w:val="20"/>
          <w:color w:val="auto"/>
        </w:rPr>
      </w:pPr>
    </w:p>
    <w:p>
      <w:pPr>
        <w:ind w:left="1260" w:right="1279" w:firstLine="284"/>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Demand Registration Rights. </w:t>
      </w:r>
      <w:r>
        <w:rPr>
          <w:rFonts w:ascii="Times New Roman" w:cs="Times New Roman" w:eastAsia="Times New Roman" w:hAnsi="Times New Roman"/>
          <w:sz w:val="14"/>
          <w:szCs w:val="14"/>
          <w:color w:val="auto"/>
        </w:rPr>
        <w:t>At any time or from time to time after the earlier of (i) December 28,</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2027 or (ii) the date that is six (6) months after the consummation of an initial public offering, any holder of fifteen percent (15%) of the registrable securities or holders of fifteen percent (15%) of the registrable securities then outstanding may request in writing that the we effect a registration of registrable securities (together with the registrable securities which the other holders elect to include in such registration) on any internationally recognized exchange that is reasonably acceptable to such initiating holders. Upon receipt of such a request, we shall, within ten (10) business days thereafter, (x) give written notice of the proposed registration to all other holders (and all other holders shall have the right to join such registration) and (y) as soon as practicable, use reasonable best efforts to cause the registrable securities specified in the request, together with any registrable securities of any holder who requests in writing to join such registration within fifteen (15) business days after our delivery of written notice, to be registered and/or qualified for sale and distribution in such jurisdiction as the initiating holders may request. We are obligated to effect no more than five (5) registrations that have been declared and ordered effective; provided that if the registrable securities sought to be included in the registration are not fully included in the registration for any reason other than solely due to the action or inaction of the holders including registrable securities in such registration, such registration shall not be deemed to constitute one of the registration rights granted.</w:t>
      </w:r>
    </w:p>
    <w:p>
      <w:pPr>
        <w:spacing w:after="0" w:line="256" w:lineRule="exact"/>
        <w:rPr>
          <w:sz w:val="20"/>
          <w:szCs w:val="20"/>
          <w:color w:val="auto"/>
        </w:rPr>
      </w:pPr>
    </w:p>
    <w:p>
      <w:pPr>
        <w:ind w:left="1260" w:right="1299" w:firstLine="284"/>
        <w:spacing w:after="0" w:line="248" w:lineRule="auto"/>
        <w:rPr>
          <w:sz w:val="20"/>
          <w:szCs w:val="20"/>
          <w:color w:val="auto"/>
        </w:rPr>
      </w:pPr>
      <w:r>
        <w:rPr>
          <w:rFonts w:ascii="Times New Roman" w:cs="Times New Roman" w:eastAsia="Times New Roman" w:hAnsi="Times New Roman"/>
          <w:sz w:val="14"/>
          <w:szCs w:val="14"/>
          <w:i w:val="1"/>
          <w:iCs w:val="1"/>
          <w:color w:val="auto"/>
        </w:rPr>
        <w:t xml:space="preserve">Piggyback Registration Rights. </w:t>
      </w:r>
      <w:r>
        <w:rPr>
          <w:rFonts w:ascii="Times New Roman" w:cs="Times New Roman" w:eastAsia="Times New Roman" w:hAnsi="Times New Roman"/>
          <w:sz w:val="14"/>
          <w:szCs w:val="14"/>
          <w:color w:val="auto"/>
        </w:rPr>
        <w:t>If we propose to register for our own account any of our equity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or for the account of any holder of equity securities any of such holder’s equity securities, in connection with the public offering of such securities (except for exempt registrations), we shall promptly give each holder written notice of such registration and, upon the written request of any holder given within fifteen (15) business days after delivery of such notice, we shall use our reasonable best efforts to include in such registration any registrable securities thereby requested to be registered by such holder. If a holder decides not to include all or any of its registrable securities in such registration by us, such holder shall nevertheless continue to have the right to include any registrable securities in any subsequent registration statement or registration statements as may be filed by us, all upon the terms and conditions set forth herein. There shall be no limit on the number of times the holders may request registration of registrable securities.</w:t>
      </w:r>
    </w:p>
    <w:p>
      <w:pPr>
        <w:spacing w:after="0" w:line="86" w:lineRule="exact"/>
        <w:rPr>
          <w:sz w:val="20"/>
          <w:szCs w:val="20"/>
          <w:color w:val="auto"/>
        </w:rPr>
      </w:pPr>
    </w:p>
    <w:p>
      <w:pPr>
        <w:ind w:left="1260" w:right="1299" w:firstLine="284"/>
        <w:spacing w:after="0" w:line="245" w:lineRule="auto"/>
        <w:rPr>
          <w:sz w:val="20"/>
          <w:szCs w:val="20"/>
          <w:color w:val="auto"/>
        </w:rPr>
      </w:pPr>
      <w:r>
        <w:rPr>
          <w:rFonts w:ascii="Times New Roman" w:cs="Times New Roman" w:eastAsia="Times New Roman" w:hAnsi="Times New Roman"/>
          <w:sz w:val="14"/>
          <w:szCs w:val="14"/>
          <w:i w:val="1"/>
          <w:iCs w:val="1"/>
          <w:color w:val="auto"/>
        </w:rPr>
        <w:t xml:space="preserve">Form F-3 Registration Rights. </w:t>
      </w:r>
      <w:r>
        <w:rPr>
          <w:rFonts w:ascii="Times New Roman" w:cs="Times New Roman" w:eastAsia="Times New Roman" w:hAnsi="Times New Roman"/>
          <w:sz w:val="14"/>
          <w:szCs w:val="14"/>
          <w:color w:val="auto"/>
        </w:rPr>
        <w:t>We shall use reasonable best efforts to qualify for registration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Form F-3. If we qualify for registration on Form F-3 (or any comparable form for registration in a jurisdiction other than the United States), any holder of fifteen percent (15%) of registrable securities or holders of fifteen percent (15%) of the registrable securities then outstanding, may request us to file, in any jurisdiction in which we have had a registered underwritten public offering, a registration statement on Form F-3 (or any comparable form for registration in a jurisdiction other than the United States), including without limitation any registration statement filed under the Securities Act providing for the registration of, and the sale on a continuous or a delayed basis by the holders of, all of the registrable securities pursuant to Rule 415 under the Securities Act and/or any similar rule that may be adopted by the Commission. Upon receipt of such a request, we shall promptly (i) give written notice of the proposed registration to all other holders and (ii) use reasonable best efforts to cause the registrable securities specified in the request, together with any registrable securities of any holder who requests in writing to join such registration within fifteen (15) business days after our delivery of written notice, to be registered and qualified for sale and distribution in such jurisdiction. There shall be no limit on the number of times the holders may request registration of registrable securities. Nevertheless, we are obligated to consummate no more than two</w:t>
      </w:r>
    </w:p>
    <w:p>
      <w:pPr>
        <w:spacing w:after="0" w:line="169" w:lineRule="exact"/>
        <w:rPr>
          <w:sz w:val="20"/>
          <w:szCs w:val="20"/>
          <w:color w:val="auto"/>
        </w:rPr>
      </w:pPr>
    </w:p>
    <w:p>
      <w:pPr>
        <w:ind w:left="1260" w:right="1459" w:firstLine="1"/>
        <w:spacing w:after="0" w:line="246" w:lineRule="auto"/>
        <w:tabs>
          <w:tab w:leader="none" w:pos="147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registrations that have been declared and ordered effective within any twelve (12) month period; provided that if the registrable securities sought to be included in the registration are not fully included in such registration or if the sale of all registrable securities sought to be included in the registration is not consummated for any reason other than solely due to the action or inaction of the holders including registrable securities in such</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 w:name="page16"/>
    <w:bookmarkEnd w:id="15"/>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60" w:right="1519"/>
        <w:spacing w:after="0" w:line="272" w:lineRule="auto"/>
        <w:rPr>
          <w:sz w:val="20"/>
          <w:szCs w:val="20"/>
          <w:color w:val="auto"/>
        </w:rPr>
      </w:pPr>
      <w:r>
        <w:rPr>
          <w:rFonts w:ascii="Times New Roman" w:cs="Times New Roman" w:eastAsia="Times New Roman" w:hAnsi="Times New Roman"/>
          <w:sz w:val="14"/>
          <w:szCs w:val="14"/>
          <w:color w:val="auto"/>
        </w:rPr>
        <w:t>registration, such registration shall not be deemed to constitute one of the registration rights granted. We shall not be obligated to effect any registration if the aggregate offering price to the public of such registration is less than US$1,000,000.</w:t>
      </w:r>
    </w:p>
    <w:p>
      <w:pPr>
        <w:spacing w:after="0" w:line="80" w:lineRule="exact"/>
        <w:rPr>
          <w:sz w:val="20"/>
          <w:szCs w:val="20"/>
          <w:color w:val="auto"/>
        </w:rPr>
      </w:pPr>
    </w:p>
    <w:p>
      <w:pPr>
        <w:ind w:left="1260" w:right="1659" w:firstLine="284"/>
        <w:spacing w:after="0" w:line="292" w:lineRule="auto"/>
        <w:rPr>
          <w:sz w:val="20"/>
          <w:szCs w:val="20"/>
          <w:color w:val="auto"/>
        </w:rPr>
      </w:pPr>
      <w:r>
        <w:rPr>
          <w:rFonts w:ascii="Times New Roman" w:cs="Times New Roman" w:eastAsia="Times New Roman" w:hAnsi="Times New Roman"/>
          <w:sz w:val="14"/>
          <w:szCs w:val="14"/>
          <w:i w:val="1"/>
          <w:iCs w:val="1"/>
          <w:color w:val="auto"/>
        </w:rPr>
        <w:t xml:space="preserve">Expenses of Registration. </w:t>
      </w:r>
      <w:r>
        <w:rPr>
          <w:rFonts w:ascii="Times New Roman" w:cs="Times New Roman" w:eastAsia="Times New Roman" w:hAnsi="Times New Roman"/>
          <w:sz w:val="14"/>
          <w:szCs w:val="14"/>
          <w:color w:val="auto"/>
        </w:rPr>
        <w:t>We will bear all registration expenses incurred in connection with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demand, piggyback or F-3 registration, subject to certain limitations.</w:t>
      </w:r>
    </w:p>
    <w:p>
      <w:pPr>
        <w:spacing w:after="0" w:line="67" w:lineRule="exact"/>
        <w:rPr>
          <w:sz w:val="20"/>
          <w:szCs w:val="20"/>
          <w:color w:val="auto"/>
        </w:rPr>
      </w:pPr>
    </w:p>
    <w:p>
      <w:pPr>
        <w:ind w:left="1260" w:right="1319" w:firstLine="284"/>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Termination of Registration Rights. </w:t>
      </w:r>
      <w:r>
        <w:rPr>
          <w:rFonts w:ascii="Times New Roman" w:cs="Times New Roman" w:eastAsia="Times New Roman" w:hAnsi="Times New Roman"/>
          <w:sz w:val="14"/>
          <w:szCs w:val="14"/>
          <w:color w:val="auto"/>
        </w:rPr>
        <w:t>Our shareholders’ registration rights will terminate on the earlier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(i) the date that is five (5) years from the date of closing of an initial public offering, (ii) with respect to any holder, the date on which such holder may sell all of such holder’s registrable securities under Rule 144 of the Securities Act in any ninety (90)-day period.</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Our ADSs are listed on The Nasdaq Global Select Market under the trading symbol “CHA.”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6" w:name="page17"/>
    <w:bookmarkEnd w:id="16"/>
    <w:p>
      <w:pPr>
        <w:ind w:left="2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AMERICAN DEPOSITARY SHARES</w:t>
      </w:r>
    </w:p>
    <w:p>
      <w:pPr>
        <w:spacing w:after="0" w:line="129" w:lineRule="exact"/>
        <w:rPr>
          <w:sz w:val="20"/>
          <w:szCs w:val="20"/>
          <w:color w:val="auto"/>
        </w:rPr>
      </w:pPr>
    </w:p>
    <w:p>
      <w:pPr>
        <w:ind w:left="1260" w:right="1319" w:firstLine="284"/>
        <w:spacing w:after="0" w:line="263" w:lineRule="auto"/>
        <w:rPr>
          <w:sz w:val="20"/>
          <w:szCs w:val="20"/>
          <w:color w:val="auto"/>
        </w:rPr>
      </w:pPr>
      <w:r>
        <w:rPr>
          <w:rFonts w:ascii="Times New Roman" w:cs="Times New Roman" w:eastAsia="Times New Roman" w:hAnsi="Times New Roman"/>
          <w:sz w:val="14"/>
          <w:szCs w:val="14"/>
          <w:color w:val="auto"/>
        </w:rPr>
        <w:t>The Bank of New York Mellon The Bank of New York Mellon, as depositary, registers and delivers the ADSs. Each ADS represents ownership of one Class A ordinary shares, deposited with The Hongkong and Shanghai Banking Corporation Limited, as custodian for the depositary. Each ADS also represents ownership of any other securities, cash or other property which may be held by the depositary. The office of the custodian is located at 1 Queen’s Road, Central, Hong Kong.</w:t>
      </w:r>
    </w:p>
    <w:p>
      <w:pPr>
        <w:spacing w:after="0" w:line="89" w:lineRule="exact"/>
        <w:rPr>
          <w:sz w:val="20"/>
          <w:szCs w:val="20"/>
          <w:color w:val="auto"/>
        </w:rPr>
      </w:pPr>
    </w:p>
    <w:p>
      <w:pPr>
        <w:ind w:left="1260" w:right="1519" w:firstLine="284"/>
        <w:spacing w:after="0" w:line="289" w:lineRule="auto"/>
        <w:rPr>
          <w:sz w:val="20"/>
          <w:szCs w:val="20"/>
          <w:color w:val="auto"/>
        </w:rPr>
      </w:pPr>
      <w:r>
        <w:rPr>
          <w:rFonts w:ascii="Times New Roman" w:cs="Times New Roman" w:eastAsia="Times New Roman" w:hAnsi="Times New Roman"/>
          <w:sz w:val="14"/>
          <w:szCs w:val="14"/>
          <w:color w:val="auto"/>
        </w:rPr>
        <w:t>The principal executive office of the depositary is located at 240 Greenwich Street, New York, New York 10286.</w:t>
      </w:r>
    </w:p>
    <w:p>
      <w:pPr>
        <w:spacing w:after="0" w:line="60" w:lineRule="exact"/>
        <w:rPr>
          <w:sz w:val="20"/>
          <w:szCs w:val="20"/>
          <w:color w:val="auto"/>
        </w:rPr>
      </w:pPr>
    </w:p>
    <w:p>
      <w:pPr>
        <w:ind w:left="1260" w:right="1399" w:firstLine="284"/>
        <w:spacing w:after="0" w:line="269" w:lineRule="auto"/>
        <w:rPr>
          <w:sz w:val="20"/>
          <w:szCs w:val="20"/>
          <w:color w:val="auto"/>
        </w:rPr>
      </w:pPr>
      <w:r>
        <w:rPr>
          <w:rFonts w:ascii="Times New Roman" w:cs="Times New Roman" w:eastAsia="Times New Roman" w:hAnsi="Times New Roman"/>
          <w:sz w:val="14"/>
          <w:szCs w:val="14"/>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259" w:lineRule="exact"/>
        <w:rPr>
          <w:sz w:val="20"/>
          <w:szCs w:val="20"/>
          <w:color w:val="auto"/>
        </w:rPr>
      </w:pPr>
    </w:p>
    <w:p>
      <w:pPr>
        <w:ind w:left="1260" w:right="1359" w:firstLine="284"/>
        <w:spacing w:after="0" w:line="261" w:lineRule="auto"/>
        <w:rPr>
          <w:sz w:val="20"/>
          <w:szCs w:val="20"/>
          <w:color w:val="auto"/>
        </w:rPr>
      </w:pPr>
      <w:r>
        <w:rPr>
          <w:rFonts w:ascii="Times New Roman" w:cs="Times New Roman" w:eastAsia="Times New Roman" w:hAnsi="Times New Roman"/>
          <w:sz w:val="14"/>
          <w:szCs w:val="14"/>
          <w:color w:val="auto"/>
        </w:rPr>
        <w:t>We do not treat ADS holders as our shareholders and accordingly, you, as an ADS holder, do not have shareholder rights. Cayman Islands law governs shareholder rights. The depositary is the holder of the Class A ordinary shares underlying your ADSs. As a holder of ADSs, you have ADS holder rights. A deposit agreement among us, the depositary and you, as an ADS holder, and the beneficial owners of ADSs sets out the rights of ADS holders as well as the rights and obligations of the depositary. The laws of the State of New York govern the deposit agreement and the ADSs.</w:t>
      </w:r>
    </w:p>
    <w:p>
      <w:pPr>
        <w:spacing w:after="0" w:line="91" w:lineRule="exact"/>
        <w:rPr>
          <w:sz w:val="20"/>
          <w:szCs w:val="20"/>
          <w:color w:val="auto"/>
        </w:rPr>
      </w:pPr>
    </w:p>
    <w:p>
      <w:pPr>
        <w:ind w:left="1260" w:right="1279" w:firstLine="284"/>
        <w:spacing w:after="0" w:line="258" w:lineRule="auto"/>
        <w:rPr>
          <w:sz w:val="20"/>
          <w:szCs w:val="20"/>
          <w:color w:val="auto"/>
        </w:rPr>
      </w:pPr>
      <w:r>
        <w:rPr>
          <w:rFonts w:ascii="Times New Roman" w:cs="Times New Roman" w:eastAsia="Times New Roman" w:hAnsi="Times New Roman"/>
          <w:sz w:val="14"/>
          <w:szCs w:val="14"/>
          <w:color w:val="auto"/>
        </w:rPr>
        <w:t>The following is a summary of the material provisions of the deposit agreement. This summary description assumes you have opted to own the ADSs directly by means of an ADS registered in your name and, as such, we will refer to you as the “holder.” When we refer to “you,” we assume the reader owns ADSs and will own ADSs at the relevant time. For more complete information, you should read the entire deposit agreement and the form of American Depositary Receipt, or ADR, which contains the terms of your ADSs. The deposit agreement has been filed with the SEC as an exhibit to a Registration Statement on Form F-6 (File No. 333-286358) for our company on April 3, 2025. The form of ADR has been initially filed with the SEC as an exhibit to our Registration Statement on Form F-1 (File No. 333-286081), as amended, on March 25, 2025. You may also find the registration statement and the attached deposit agreement on the SEC’s website at http://www.sec.gov.</w:t>
      </w:r>
    </w:p>
    <w:p>
      <w:pPr>
        <w:spacing w:after="0" w:line="3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Holding the ADSs</w:t>
      </w:r>
    </w:p>
    <w:p>
      <w:pPr>
        <w:spacing w:after="0" w:line="118" w:lineRule="exact"/>
        <w:rPr>
          <w:sz w:val="20"/>
          <w:szCs w:val="20"/>
          <w:color w:val="auto"/>
        </w:rPr>
      </w:pPr>
    </w:p>
    <w:p>
      <w:pPr>
        <w:ind w:left="1260" w:right="1299" w:firstLine="284"/>
        <w:spacing w:after="0" w:line="259" w:lineRule="auto"/>
        <w:rPr>
          <w:sz w:val="20"/>
          <w:szCs w:val="20"/>
          <w:color w:val="auto"/>
        </w:rPr>
      </w:pPr>
      <w:r>
        <w:rPr>
          <w:rFonts w:ascii="Times New Roman" w:cs="Times New Roman" w:eastAsia="Times New Roman" w:hAnsi="Times New Roman"/>
          <w:sz w:val="14"/>
          <w:szCs w:val="14"/>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3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How Will You Receive Dividends and Other Distributions on the Shares?</w:t>
      </w:r>
    </w:p>
    <w:p>
      <w:pPr>
        <w:spacing w:after="0" w:line="131" w:lineRule="exact"/>
        <w:rPr>
          <w:sz w:val="20"/>
          <w:szCs w:val="20"/>
          <w:color w:val="auto"/>
        </w:rPr>
      </w:pPr>
    </w:p>
    <w:p>
      <w:pPr>
        <w:ind w:left="1260" w:right="1299" w:firstLine="284"/>
        <w:spacing w:after="0" w:line="272" w:lineRule="auto"/>
        <w:rPr>
          <w:sz w:val="20"/>
          <w:szCs w:val="20"/>
          <w:color w:val="auto"/>
        </w:rPr>
      </w:pPr>
      <w:r>
        <w:rPr>
          <w:rFonts w:ascii="Times New Roman" w:cs="Times New Roman" w:eastAsia="Times New Roman" w:hAnsi="Times New Roman"/>
          <w:sz w:val="14"/>
          <w:szCs w:val="14"/>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the ADSs represent.</w:t>
      </w:r>
    </w:p>
    <w:p>
      <w:pPr>
        <w:spacing w:after="0" w:line="46" w:lineRule="exact"/>
        <w:rPr>
          <w:sz w:val="20"/>
          <w:szCs w:val="20"/>
          <w:color w:val="auto"/>
        </w:rPr>
      </w:pPr>
    </w:p>
    <w:p>
      <w:pPr>
        <w:ind w:left="1680" w:right="1319" w:hanging="135"/>
        <w:spacing w:after="0" w:line="268" w:lineRule="auto"/>
        <w:tabs>
          <w:tab w:leader="none" w:pos="1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Cash. </w:t>
      </w:r>
      <w:r>
        <w:rPr>
          <w:rFonts w:ascii="Times New Roman" w:cs="Times New Roman" w:eastAsia="Times New Roman" w:hAnsi="Times New Roman"/>
          <w:sz w:val="14"/>
          <w:szCs w:val="14"/>
          <w:color w:val="auto"/>
        </w:rPr>
        <w:t>The depositary will convert any cash dividend or other cash distribution we pay on the shares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 w:name="page18"/>
    <w:bookmarkEnd w:id="17"/>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1680" w:right="1539"/>
        <w:spacing w:after="0" w:line="264" w:lineRule="auto"/>
        <w:rPr>
          <w:sz w:val="20"/>
          <w:szCs w:val="20"/>
          <w:color w:val="auto"/>
        </w:rPr>
      </w:pPr>
      <w:r>
        <w:rPr>
          <w:rFonts w:ascii="Times New Roman" w:cs="Times New Roman" w:eastAsia="Times New Roman" w:hAnsi="Times New Roman"/>
          <w:sz w:val="14"/>
          <w:szCs w:val="14"/>
          <w:color w:val="auto"/>
        </w:rPr>
        <w:t>holders to whom it is possible to do so. It will hold the foreign currency it cannot convert for the account of the ADS holders who have not been paid. It will not invest the foreign currency and it will not be liable for any interest.</w:t>
      </w:r>
    </w:p>
    <w:p>
      <w:pPr>
        <w:spacing w:after="0" w:line="77" w:lineRule="exact"/>
        <w:rPr>
          <w:sz w:val="20"/>
          <w:szCs w:val="20"/>
          <w:color w:val="auto"/>
        </w:rPr>
      </w:pPr>
    </w:p>
    <w:p>
      <w:pPr>
        <w:ind w:left="1680" w:right="1339"/>
        <w:spacing w:after="0" w:line="252" w:lineRule="auto"/>
        <w:rPr>
          <w:sz w:val="20"/>
          <w:szCs w:val="20"/>
          <w:color w:val="auto"/>
        </w:rPr>
      </w:pPr>
      <w:r>
        <w:rPr>
          <w:rFonts w:ascii="Times New Roman" w:cs="Times New Roman" w:eastAsia="Times New Roman" w:hAnsi="Times New Roman"/>
          <w:sz w:val="14"/>
          <w:szCs w:val="14"/>
          <w:color w:val="auto"/>
        </w:rPr>
        <w:t>Before making a distribution, any withholding taxes, or other governmental charges that must be paid will be deducted. See “Taxation.” The depositary will distribute only whole U.S. dollars and cents and will round fractional cents to the nearest whole cent. If the exchange rates fluctuate during a time when the depositary cannot convert the foreign currency, you may lose some of the value of the distribution.</w:t>
      </w:r>
    </w:p>
    <w:p>
      <w:pPr>
        <w:spacing w:after="0" w:line="216" w:lineRule="exact"/>
        <w:rPr>
          <w:sz w:val="20"/>
          <w:szCs w:val="20"/>
          <w:color w:val="auto"/>
        </w:rPr>
      </w:pPr>
    </w:p>
    <w:p>
      <w:pPr>
        <w:ind w:left="1680" w:right="1299" w:hanging="135"/>
        <w:spacing w:after="0" w:line="261" w:lineRule="auto"/>
        <w:tabs>
          <w:tab w:leader="none" w:pos="16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Shares. </w:t>
      </w:r>
      <w:r>
        <w:rPr>
          <w:rFonts w:ascii="Times New Roman" w:cs="Times New Roman" w:eastAsia="Times New Roman" w:hAnsi="Times New Roman"/>
          <w:sz w:val="14"/>
          <w:szCs w:val="14"/>
          <w:color w:val="auto"/>
        </w:rPr>
        <w:t>The depositary may distribute additional ADSs representing any shares we distribute as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dividend or free distribution. The depositary 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229" w:lineRule="exact"/>
        <w:rPr>
          <w:rFonts w:ascii="Times New Roman" w:cs="Times New Roman" w:eastAsia="Times New Roman" w:hAnsi="Times New Roman"/>
          <w:sz w:val="14"/>
          <w:szCs w:val="14"/>
          <w:color w:val="auto"/>
        </w:rPr>
      </w:pPr>
    </w:p>
    <w:p>
      <w:pPr>
        <w:ind w:left="1680" w:right="1279" w:hanging="135"/>
        <w:spacing w:after="0" w:line="258" w:lineRule="auto"/>
        <w:tabs>
          <w:tab w:leader="none" w:pos="16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Rights to purchase additional shares. </w:t>
      </w:r>
      <w:r>
        <w:rPr>
          <w:rFonts w:ascii="Times New Roman" w:cs="Times New Roman" w:eastAsia="Times New Roman" w:hAnsi="Times New Roman"/>
          <w:sz w:val="14"/>
          <w:szCs w:val="14"/>
          <w:color w:val="auto"/>
        </w:rPr>
        <w:t>If we offer holders of our securities any rights to subscribe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additional shares or any other rights, the 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217" w:lineRule="exact"/>
        <w:rPr>
          <w:rFonts w:ascii="Times New Roman" w:cs="Times New Roman" w:eastAsia="Times New Roman" w:hAnsi="Times New Roman"/>
          <w:sz w:val="14"/>
          <w:szCs w:val="14"/>
          <w:color w:val="auto"/>
        </w:rPr>
      </w:pPr>
    </w:p>
    <w:p>
      <w:pPr>
        <w:ind w:left="1680" w:right="1419" w:hanging="135"/>
        <w:spacing w:after="0" w:line="258" w:lineRule="auto"/>
        <w:tabs>
          <w:tab w:leader="none" w:pos="16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Other Distributions. </w:t>
      </w:r>
      <w:r>
        <w:rPr>
          <w:rFonts w:ascii="Times New Roman" w:cs="Times New Roman" w:eastAsia="Times New Roman" w:hAnsi="Times New Roman"/>
          <w:sz w:val="14"/>
          <w:szCs w:val="14"/>
          <w:color w:val="auto"/>
        </w:rPr>
        <w:t>The depositary will send to ADS holders anything else we distribute 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268" w:lineRule="exact"/>
        <w:rPr>
          <w:rFonts w:ascii="Times New Roman" w:cs="Times New Roman" w:eastAsia="Times New Roman" w:hAnsi="Times New Roman"/>
          <w:sz w:val="14"/>
          <w:szCs w:val="14"/>
          <w:color w:val="auto"/>
        </w:rPr>
      </w:pPr>
    </w:p>
    <w:p>
      <w:pPr>
        <w:ind w:left="1680" w:right="127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spacing w:after="0" w:line="1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Deposit, Withdrawal and Cancellation</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How Are ADSs Issued?</w:t>
      </w:r>
    </w:p>
    <w:p>
      <w:pPr>
        <w:spacing w:after="0" w:line="131" w:lineRule="exact"/>
        <w:rPr>
          <w:sz w:val="20"/>
          <w:szCs w:val="20"/>
          <w:color w:val="auto"/>
        </w:rPr>
      </w:pPr>
    </w:p>
    <w:p>
      <w:pPr>
        <w:ind w:left="1260" w:right="1279" w:firstLine="284"/>
        <w:spacing w:after="0" w:line="252" w:lineRule="auto"/>
        <w:rPr>
          <w:sz w:val="20"/>
          <w:szCs w:val="20"/>
          <w:color w:val="auto"/>
        </w:rPr>
      </w:pPr>
      <w:r>
        <w:rPr>
          <w:rFonts w:ascii="Times New Roman" w:cs="Times New Roman" w:eastAsia="Times New Roman" w:hAnsi="Times New Roman"/>
          <w:sz w:val="14"/>
          <w:szCs w:val="14"/>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8" w:name="page19"/>
    <w:bookmarkEnd w:id="18"/>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How Can ADS Holders Withdraw the Deposited Securities?</w:t>
      </w:r>
    </w:p>
    <w:p>
      <w:pPr>
        <w:spacing w:after="0" w:line="131" w:lineRule="exact"/>
        <w:rPr>
          <w:sz w:val="20"/>
          <w:szCs w:val="20"/>
          <w:color w:val="auto"/>
        </w:rPr>
      </w:pPr>
    </w:p>
    <w:p>
      <w:pPr>
        <w:ind w:left="1260" w:right="1319" w:firstLine="284"/>
        <w:spacing w:after="0" w:line="259" w:lineRule="auto"/>
        <w:rPr>
          <w:sz w:val="20"/>
          <w:szCs w:val="20"/>
          <w:color w:val="auto"/>
        </w:rPr>
      </w:pPr>
      <w:r>
        <w:rPr>
          <w:rFonts w:ascii="Times New Roman" w:cs="Times New Roman" w:eastAsia="Times New Roman" w:hAnsi="Times New Roman"/>
          <w:sz w:val="14"/>
          <w:szCs w:val="14"/>
          <w:color w:val="auto"/>
        </w:rPr>
        <w:t>You may surrender the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3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How Do ADS Holders Interchange Between Certificated ADSs and Uncertificated ADSs?</w:t>
      </w:r>
    </w:p>
    <w:p>
      <w:pPr>
        <w:spacing w:after="0" w:line="131" w:lineRule="exact"/>
        <w:rPr>
          <w:sz w:val="20"/>
          <w:szCs w:val="20"/>
          <w:color w:val="auto"/>
        </w:rPr>
      </w:pPr>
    </w:p>
    <w:p>
      <w:pPr>
        <w:ind w:left="1260" w:right="1379" w:firstLine="284"/>
        <w:spacing w:after="0" w:line="262" w:lineRule="auto"/>
        <w:rPr>
          <w:sz w:val="20"/>
          <w:szCs w:val="20"/>
          <w:color w:val="auto"/>
        </w:rPr>
      </w:pPr>
      <w:r>
        <w:rPr>
          <w:rFonts w:ascii="Times New Roman" w:cs="Times New Roman" w:eastAsia="Times New Roman" w:hAnsi="Times New Roman"/>
          <w:sz w:val="14"/>
          <w:szCs w:val="14"/>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3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How Do You Vote?</w:t>
      </w:r>
    </w:p>
    <w:p>
      <w:pPr>
        <w:spacing w:after="0" w:line="120" w:lineRule="exact"/>
        <w:rPr>
          <w:sz w:val="20"/>
          <w:szCs w:val="20"/>
          <w:color w:val="auto"/>
        </w:rPr>
      </w:pPr>
    </w:p>
    <w:p>
      <w:pPr>
        <w:ind w:left="1260" w:right="1299" w:firstLine="284"/>
        <w:spacing w:after="0" w:line="258" w:lineRule="auto"/>
        <w:rPr>
          <w:sz w:val="20"/>
          <w:szCs w:val="20"/>
          <w:color w:val="auto"/>
        </w:rPr>
      </w:pPr>
      <w:r>
        <w:rPr>
          <w:rFonts w:ascii="Times New Roman" w:cs="Times New Roman" w:eastAsia="Times New Roman" w:hAnsi="Times New Roman"/>
          <w:sz w:val="14"/>
          <w:szCs w:val="14"/>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or as described in the following sentence. If (i) we asked the depositary to solicit your instructions at least 30 days before the meeting date, (ii) the depositary does not receive voting instructions from you by the specified date with respect to a question to be voted upon and (iii) we confirm to the depositary that:</w:t>
      </w:r>
    </w:p>
    <w:p>
      <w:pPr>
        <w:spacing w:after="0" w:line="233" w:lineRule="exact"/>
        <w:rPr>
          <w:sz w:val="20"/>
          <w:szCs w:val="20"/>
          <w:color w:val="auto"/>
        </w:rPr>
      </w:pPr>
    </w:p>
    <w:p>
      <w:pPr>
        <w:ind w:left="1680" w:hanging="135"/>
        <w:spacing w:after="0"/>
        <w:tabs>
          <w:tab w:leader="none" w:pos="16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wish to receive a proxy to vote uninstructed shares;</w:t>
      </w:r>
    </w:p>
    <w:p>
      <w:pPr>
        <w:spacing w:after="0" w:line="105"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reasonably do not know of any substantial shareholder opposition to a particular question; and</w:t>
      </w:r>
    </w:p>
    <w:p>
      <w:pPr>
        <w:spacing w:after="0" w:line="95"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particular question is not materially adverse to the interests of shareholders,</w:t>
      </w:r>
    </w:p>
    <w:p>
      <w:pPr>
        <w:spacing w:after="0" w:line="116" w:lineRule="exact"/>
        <w:rPr>
          <w:sz w:val="20"/>
          <w:szCs w:val="20"/>
          <w:color w:val="auto"/>
        </w:rPr>
      </w:pPr>
    </w:p>
    <w:p>
      <w:pPr>
        <w:jc w:val="both"/>
        <w:ind w:left="1260" w:right="1379"/>
        <w:spacing w:after="0" w:line="272" w:lineRule="auto"/>
        <w:rPr>
          <w:sz w:val="20"/>
          <w:szCs w:val="20"/>
          <w:color w:val="auto"/>
        </w:rPr>
      </w:pPr>
      <w:r>
        <w:rPr>
          <w:rFonts w:ascii="Times New Roman" w:cs="Times New Roman" w:eastAsia="Times New Roman" w:hAnsi="Times New Roman"/>
          <w:sz w:val="14"/>
          <w:szCs w:val="14"/>
          <w:color w:val="auto"/>
        </w:rPr>
        <w:t>the depositary will consider you to have authorized and directed it to give, and it will give, a discretionary proxy to a person designated by us to vote the number of deposited securities represented by your ADSs as to that question.</w:t>
      </w:r>
    </w:p>
    <w:p>
      <w:pPr>
        <w:spacing w:after="0" w:line="82" w:lineRule="exact"/>
        <w:rPr>
          <w:sz w:val="20"/>
          <w:szCs w:val="20"/>
          <w:color w:val="auto"/>
        </w:rPr>
      </w:pPr>
    </w:p>
    <w:p>
      <w:pPr>
        <w:jc w:val="both"/>
        <w:ind w:left="1260" w:right="1399" w:firstLine="284"/>
        <w:spacing w:after="0" w:line="289" w:lineRule="auto"/>
        <w:rPr>
          <w:sz w:val="20"/>
          <w:szCs w:val="20"/>
          <w:color w:val="auto"/>
        </w:rPr>
      </w:pPr>
      <w:r>
        <w:rPr>
          <w:rFonts w:ascii="Times New Roman" w:cs="Times New Roman" w:eastAsia="Times New Roman" w:hAnsi="Times New Roman"/>
          <w:sz w:val="14"/>
          <w:szCs w:val="14"/>
          <w:color w:val="auto"/>
        </w:rPr>
        <w:t>If we do not request the depositary to solicit your voting instructions, you can still send voting instructions, and, in that case, the depositary may try to vote as you instruct, but it is not required to do so.</w:t>
      </w:r>
    </w:p>
    <w:p>
      <w:pPr>
        <w:spacing w:after="0" w:line="71" w:lineRule="exact"/>
        <w:rPr>
          <w:sz w:val="20"/>
          <w:szCs w:val="20"/>
          <w:color w:val="auto"/>
        </w:rPr>
      </w:pPr>
    </w:p>
    <w:p>
      <w:pPr>
        <w:jc w:val="both"/>
        <w:ind w:left="1260" w:right="1419" w:firstLine="284"/>
        <w:spacing w:after="0" w:line="266" w:lineRule="auto"/>
        <w:rPr>
          <w:sz w:val="20"/>
          <w:szCs w:val="20"/>
          <w:color w:val="auto"/>
        </w:rPr>
      </w:pPr>
      <w:r>
        <w:rPr>
          <w:rFonts w:ascii="Times New Roman" w:cs="Times New Roman" w:eastAsia="Times New Roman" w:hAnsi="Times New Roman"/>
          <w:sz w:val="14"/>
          <w:szCs w:val="14"/>
          <w:color w:val="auto"/>
        </w:rPr>
        <w:t>Except by instructing the depositary as described above, you will not be able to exercise voting rights unless you surrender your ADSs and withdraw the shares. However, you may not know about the meeting enough in advance to withdraw the shares. In any event, the depositary will not exercise any discretion in voting deposited securities and it will only vote or attempt to vote as instructed.</w:t>
      </w:r>
    </w:p>
    <w:p>
      <w:pPr>
        <w:spacing w:after="0" w:line="76" w:lineRule="exact"/>
        <w:rPr>
          <w:sz w:val="20"/>
          <w:szCs w:val="20"/>
          <w:color w:val="auto"/>
        </w:rPr>
      </w:pPr>
    </w:p>
    <w:p>
      <w:pPr>
        <w:ind w:left="1260" w:right="1279" w:firstLine="284"/>
        <w:spacing w:after="0" w:line="263" w:lineRule="auto"/>
        <w:rPr>
          <w:sz w:val="20"/>
          <w:szCs w:val="20"/>
          <w:color w:val="auto"/>
        </w:rPr>
      </w:pPr>
      <w:r>
        <w:rPr>
          <w:rFonts w:ascii="Times New Roman" w:cs="Times New Roman" w:eastAsia="Times New Roman" w:hAnsi="Times New Roman"/>
          <w:sz w:val="14"/>
          <w:szCs w:val="14"/>
          <w:color w:val="auto"/>
        </w:rPr>
        <w:t>We cannot assure you that you will receive the voting materials in time to ensure that you can instruct the depositary to vote the shares represented by your ADSs. In addition, the depositary and its agents are not responsible for failing to carry out voting instructions or for the manner of carrying out voting instructions. This means that you may not be able to exercise voting rights and there may be nothing you can do if the shares represented by your ADSs are not voted as you requested.</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9" w:name="page20"/>
    <w:bookmarkEnd w:id="19"/>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60" w:right="1399" w:firstLine="284"/>
        <w:spacing w:after="0" w:line="257" w:lineRule="auto"/>
        <w:rPr>
          <w:sz w:val="20"/>
          <w:szCs w:val="20"/>
          <w:color w:val="auto"/>
        </w:rPr>
      </w:pPr>
      <w:r>
        <w:rPr>
          <w:rFonts w:ascii="Times New Roman" w:cs="Times New Roman" w:eastAsia="Times New Roman" w:hAnsi="Times New Roman"/>
          <w:sz w:val="14"/>
          <w:szCs w:val="14"/>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3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14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1"/>
          <w:szCs w:val="11"/>
          <w:b w:val="1"/>
          <w:bCs w:val="1"/>
          <w:color w:val="auto"/>
        </w:rPr>
        <w:t>Persons depositing or withdrawing shares</w:t>
      </w:r>
    </w:p>
    <w:p>
      <w:pPr>
        <w:jc w:val="both"/>
        <w:ind w:left="1260"/>
        <w:spacing w:after="0" w:line="189" w:lineRule="auto"/>
        <w:tabs>
          <w:tab w:leader="none" w:pos="2220" w:val="left"/>
          <w:tab w:leader="none" w:pos="4440" w:val="left"/>
          <w:tab w:leader="none" w:pos="6040" w:val="left"/>
          <w:tab w:leader="none" w:pos="7720" w:val="left"/>
        </w:tabs>
        <w:rPr>
          <w:sz w:val="20"/>
          <w:szCs w:val="20"/>
          <w:color w:val="auto"/>
        </w:rPr>
      </w:pPr>
      <w:r>
        <w:rPr>
          <w:rFonts w:ascii="Times New Roman" w:cs="Times New Roman" w:eastAsia="Times New Roman" w:hAnsi="Times New Roman"/>
          <w:sz w:val="16"/>
          <w:szCs w:val="16"/>
          <w:b w:val="1"/>
          <w:bCs w:val="1"/>
          <w:color w:val="auto"/>
          <w:vertAlign w:val="subscript"/>
        </w:rPr>
        <w:t>​</w:t>
      </w:r>
      <w:r>
        <w:rPr>
          <w:sz w:val="20"/>
          <w:szCs w:val="20"/>
          <w:color w:val="auto"/>
        </w:rPr>
        <w:tab/>
      </w:r>
      <w:r>
        <w:rPr>
          <w:rFonts w:ascii="Times New Roman" w:cs="Times New Roman" w:eastAsia="Times New Roman" w:hAnsi="Times New Roman"/>
          <w:sz w:val="9"/>
          <w:szCs w:val="9"/>
          <w:b w:val="1"/>
          <w:bCs w:val="1"/>
          <w:color w:val="auto"/>
        </w:rPr>
        <w:t>or ADS holders must pay:</w:t>
      </w:r>
      <w:r>
        <w:rPr>
          <w:sz w:val="20"/>
          <w:szCs w:val="20"/>
          <w:color w:val="auto"/>
        </w:rPr>
        <w:tab/>
      </w:r>
      <w:r>
        <w:rPr>
          <w:rFonts w:ascii="Times New Roman" w:cs="Times New Roman" w:eastAsia="Times New Roman" w:hAnsi="Times New Roman"/>
          <w:sz w:val="19"/>
          <w:szCs w:val="19"/>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For:</w:t>
      </w:r>
      <w:r>
        <w:rPr>
          <w:sz w:val="20"/>
          <w:szCs w:val="20"/>
          <w:color w:val="auto"/>
        </w:rPr>
        <w:tab/>
      </w:r>
      <w:r>
        <w:rPr>
          <w:rFonts w:ascii="Times New Roman" w:cs="Times New Roman" w:eastAsia="Times New Roman" w:hAnsi="Times New Roman"/>
          <w:sz w:val="19"/>
          <w:szCs w:val="1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-635</wp:posOffset>
            </wp:positionV>
            <wp:extent cx="411924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4119245" cy="698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p>
      <w:pPr>
        <w:ind w:left="1540" w:right="80" w:hanging="283"/>
        <w:spacing w:after="0" w:line="289" w:lineRule="auto"/>
        <w:tabs>
          <w:tab w:leader="none" w:pos="1520" w:val="left"/>
        </w:tabs>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tab/>
        <w:t>US$5.00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60"/>
        <w:spacing w:after="0"/>
        <w:tabs>
          <w:tab w:leader="none" w:pos="1520" w:val="left"/>
        </w:tabs>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tab/>
        <w:t>US$0.05 (or less) per ADS</w:t>
      </w:r>
    </w:p>
    <w:p>
      <w:pPr>
        <w:ind w:left="1540" w:hanging="283"/>
        <w:spacing w:after="0" w:line="261" w:lineRule="auto"/>
        <w:tabs>
          <w:tab w:leader="none" w:pos="1520" w:val="left"/>
        </w:tabs>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tab/>
        <w:t>A fee equivalent to the fee that would be payable if securities distributed to you had been shares and the shares had been deposited for issuance of ADSs</w:t>
      </w:r>
    </w:p>
    <w:p>
      <w:pPr>
        <w:spacing w:after="0" w:line="25" w:lineRule="exact"/>
        <w:rPr>
          <w:sz w:val="20"/>
          <w:szCs w:val="20"/>
          <w:color w:val="auto"/>
        </w:rPr>
      </w:pPr>
    </w:p>
    <w:p>
      <w:pPr>
        <w:ind w:left="1260" w:right="180"/>
        <w:spacing w:after="0" w:line="373"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US$0.05 (or less) per ADS per calendar year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Registration or transfer fees</w:t>
      </w:r>
    </w:p>
    <w:p>
      <w:pPr>
        <w:spacing w:after="0" w:line="12"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tab/>
        <w:t>Expenses of the depositary</w:t>
      </w:r>
    </w:p>
    <w:p>
      <w:pPr>
        <w:spacing w:after="0" w:line="340" w:lineRule="exact"/>
        <w:rPr>
          <w:sz w:val="20"/>
          <w:szCs w:val="20"/>
          <w:color w:val="auto"/>
        </w:rPr>
      </w:pPr>
    </w:p>
    <w:p>
      <w:pPr>
        <w:ind w:left="1540" w:hanging="283"/>
        <w:spacing w:after="0" w:line="266" w:lineRule="auto"/>
        <w:tabs>
          <w:tab w:leader="none" w:pos="1520" w:val="left"/>
        </w:tabs>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tab/>
        <w:t>Taxes and other governmental charges the depositary or the custodian has to pay on any ADSs or shares underlying ADSs, such as stock transfer taxes, stamp duty or withholding taxes</w:t>
      </w:r>
    </w:p>
    <w:p>
      <w:pPr>
        <w:spacing w:after="0" w:line="36" w:lineRule="exact"/>
        <w:rPr>
          <w:sz w:val="20"/>
          <w:szCs w:val="20"/>
          <w:color w:val="auto"/>
        </w:rPr>
      </w:pPr>
    </w:p>
    <w:p>
      <w:pPr>
        <w:ind w:left="1540" w:right="160" w:hanging="283"/>
        <w:spacing w:after="0" w:line="289" w:lineRule="auto"/>
        <w:tabs>
          <w:tab w:leader="none" w:pos="1520" w:val="left"/>
        </w:tabs>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tab/>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jc w:val="center"/>
        <w:ind w:right="1239"/>
        <w:spacing w:after="0" w:line="181" w:lineRule="auto"/>
        <w:tabs>
          <w:tab w:leader="none" w:pos="120" w:val="left"/>
        </w:tabs>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 Issuance of ADSs, including issuances resulting</w:t>
      </w:r>
      <w:r>
        <w:rPr>
          <w:sz w:val="20"/>
          <w:szCs w:val="20"/>
          <w:color w:val="auto"/>
        </w:rPr>
        <w:tab/>
      </w:r>
      <w:r>
        <w:rPr>
          <w:rFonts w:ascii="Times New Roman" w:cs="Times New Roman" w:eastAsia="Times New Roman" w:hAnsi="Times New Roman"/>
          <w:sz w:val="27"/>
          <w:szCs w:val="27"/>
          <w:color w:val="auto"/>
          <w:vertAlign w:val="superscript"/>
        </w:rPr>
        <w:t>​</w:t>
      </w:r>
    </w:p>
    <w:p>
      <w:pPr>
        <w:ind w:left="320" w:right="1539"/>
        <w:spacing w:after="0" w:line="266" w:lineRule="auto"/>
        <w:rPr>
          <w:sz w:val="20"/>
          <w:szCs w:val="20"/>
          <w:color w:val="auto"/>
        </w:rPr>
      </w:pPr>
      <w:r>
        <w:rPr>
          <w:rFonts w:ascii="Times New Roman" w:cs="Times New Roman" w:eastAsia="Times New Roman" w:hAnsi="Times New Roman"/>
          <w:sz w:val="14"/>
          <w:szCs w:val="14"/>
          <w:color w:val="auto"/>
        </w:rPr>
        <w:t>from a distribution of shares or rights or other property</w:t>
      </w:r>
    </w:p>
    <w:p>
      <w:pPr>
        <w:spacing w:after="0" w:line="86" w:lineRule="exact"/>
        <w:rPr>
          <w:sz w:val="20"/>
          <w:szCs w:val="20"/>
          <w:color w:val="auto"/>
        </w:rPr>
      </w:pPr>
    </w:p>
    <w:p>
      <w:pPr>
        <w:ind w:left="320" w:right="1499" w:hanging="150"/>
        <w:spacing w:after="0" w:line="261" w:lineRule="auto"/>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Cancellation of ADSs for the purpose of withdrawal, including if the deposit agreement terminates</w:t>
      </w:r>
    </w:p>
    <w:tbl>
      <w:tblPr>
        <w:tblLayout w:type="fixed"/>
        <w:tblInd w:w="0" w:type="dxa"/>
        <w:tblCellMar>
          <w:top w:w="0" w:type="dxa"/>
          <w:left w:w="0" w:type="dxa"/>
          <w:bottom w:w="0" w:type="dxa"/>
          <w:right w:w="0" w:type="dxa"/>
        </w:tblCellMar>
      </w:tblPr>
      <w:tr>
        <w:trPr>
          <w:trHeight w:val="200"/>
        </w:trPr>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3"/>
                <w:szCs w:val="23"/>
                <w:color w:val="auto"/>
                <w:vertAlign w:val="subscript"/>
              </w:rPr>
              <w:t>•</w:t>
            </w:r>
          </w:p>
        </w:tc>
        <w:tc>
          <w:tcPr>
            <w:tcW w:w="3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Any cash distribution to ADS holders</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260" w:type="dxa"/>
            <w:vAlign w:val="bottom"/>
          </w:tcPr>
          <w:p>
            <w:pPr>
              <w:jc w:val="right"/>
              <w:spacing w:after="0" w:line="224"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bscript"/>
              </w:rPr>
              <w:t>•</w:t>
            </w:r>
          </w:p>
        </w:tc>
        <w:tc>
          <w:tcPr>
            <w:tcW w:w="3100" w:type="dxa"/>
            <w:vAlign w:val="bottom"/>
            <w:gridSpan w:val="2"/>
          </w:tcPr>
          <w:p>
            <w:pPr>
              <w:ind w:left="60"/>
              <w:spacing w:after="0" w:line="224" w:lineRule="exact"/>
              <w:rPr>
                <w:sz w:val="20"/>
                <w:szCs w:val="20"/>
                <w:color w:val="auto"/>
              </w:rPr>
            </w:pPr>
            <w:r>
              <w:rPr>
                <w:rFonts w:ascii="Times New Roman" w:cs="Times New Roman" w:eastAsia="Times New Roman" w:hAnsi="Times New Roman"/>
                <w:sz w:val="13"/>
                <w:szCs w:val="13"/>
                <w:color w:val="auto"/>
              </w:rPr>
              <w:t xml:space="preserve">Distribution of securities distributed to holders of </w:t>
            </w:r>
            <w:r>
              <w:rPr>
                <w:rFonts w:ascii="Times New Roman" w:cs="Times New Roman" w:eastAsia="Times New Roman" w:hAnsi="Times New Roman"/>
                <w:sz w:val="25"/>
                <w:szCs w:val="25"/>
                <w:color w:val="auto"/>
                <w:vertAlign w:val="superscript"/>
              </w:rPr>
              <w:t>​</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deposited securities (including rights) that 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distributed by the depositary to ADS holders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bscript"/>
              </w:rPr>
              <w:t>•</w:t>
            </w:r>
          </w:p>
        </w:tc>
        <w:tc>
          <w:tcPr>
            <w:tcW w:w="3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Depositary services</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260" w:type="dxa"/>
            <w:vAlign w:val="bottom"/>
          </w:tcPr>
          <w:p>
            <w:pPr>
              <w:jc w:val="right"/>
              <w:spacing w:after="0" w:line="224"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bscript"/>
              </w:rPr>
              <w:t>•</w:t>
            </w:r>
          </w:p>
        </w:tc>
        <w:tc>
          <w:tcPr>
            <w:tcW w:w="3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Transfer and registration of shares on our share</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register to or from the name of the depositary or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bscript"/>
              </w:rPr>
              <w:t>•</w:t>
            </w:r>
          </w:p>
        </w:tc>
        <w:tc>
          <w:tcPr>
            <w:tcW w:w="3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its agent when you deposit or withdraw shares</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60" w:type="dxa"/>
            <w:vAlign w:val="bottom"/>
            <w:vMerge w:val="continue"/>
          </w:tcPr>
          <w:p>
            <w:pPr>
              <w:spacing w:after="0"/>
              <w:rPr>
                <w:sz w:val="18"/>
                <w:szCs w:val="18"/>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Cable and facsimile transmissions (when</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expressly provided in the deposit agreement)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Converting foreign currency to U.S. dollars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5"/>
        </w:trPr>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bscript"/>
              </w:rPr>
              <w:t>•</w:t>
            </w:r>
          </w:p>
        </w:tc>
        <w:tc>
          <w:tcPr>
            <w:tcW w:w="3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As necessary</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89"/>
        </w:trPr>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bscript"/>
              </w:rPr>
              <w:t>•</w:t>
            </w:r>
          </w:p>
        </w:tc>
        <w:tc>
          <w:tcPr>
            <w:tcW w:w="3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As necessary</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74" w:lineRule="exact"/>
        <w:rPr>
          <w:sz w:val="20"/>
          <w:szCs w:val="20"/>
          <w:color w:val="auto"/>
        </w:rPr>
      </w:pPr>
    </w:p>
    <w:p>
      <w:pPr>
        <w:sectPr>
          <w:pgSz w:w="11900" w:h="16838" w:orient="portrait"/>
          <w:cols w:equalWidth="0" w:num="2">
            <w:col w:w="4400" w:space="20"/>
            <w:col w:w="4599"/>
          </w:cols>
          <w:pgMar w:left="1440" w:top="108" w:right="1440" w:bottom="1440" w:gutter="0" w:footer="0" w:header="0"/>
          <w:type w:val="continuous"/>
        </w:sectPr>
      </w:pPr>
    </w:p>
    <w:p>
      <w:pPr>
        <w:ind w:left="1260" w:right="1319" w:firstLine="284"/>
        <w:spacing w:after="0" w:line="248" w:lineRule="auto"/>
        <w:rPr>
          <w:sz w:val="20"/>
          <w:szCs w:val="20"/>
          <w:color w:val="auto"/>
        </w:rPr>
      </w:pPr>
      <w:r>
        <w:rPr>
          <w:rFonts w:ascii="Times New Roman" w:cs="Times New Roman" w:eastAsia="Times New Roman" w:hAnsi="Times New Roman"/>
          <w:sz w:val="14"/>
          <w:szCs w:val="14"/>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93" w:lineRule="exact"/>
        <w:rPr>
          <w:sz w:val="20"/>
          <w:szCs w:val="20"/>
          <w:color w:val="auto"/>
        </w:rPr>
      </w:pPr>
    </w:p>
    <w:p>
      <w:pPr>
        <w:ind w:left="1260" w:right="1299" w:firstLine="284"/>
        <w:spacing w:after="0" w:line="262" w:lineRule="auto"/>
        <w:rPr>
          <w:sz w:val="20"/>
          <w:szCs w:val="20"/>
          <w:color w:val="auto"/>
        </w:rPr>
      </w:pPr>
      <w:r>
        <w:rPr>
          <w:rFonts w:ascii="Times New Roman" w:cs="Times New Roman" w:eastAsia="Times New Roman" w:hAnsi="Times New Roman"/>
          <w:sz w:val="14"/>
          <w:szCs w:val="14"/>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263" w:lineRule="exact"/>
        <w:rPr>
          <w:sz w:val="20"/>
          <w:szCs w:val="20"/>
          <w:color w:val="auto"/>
        </w:rPr>
      </w:pPr>
    </w:p>
    <w:p>
      <w:pPr>
        <w:ind w:left="1260" w:right="1399" w:firstLine="284"/>
        <w:spacing w:after="0" w:line="289" w:lineRule="auto"/>
        <w:rPr>
          <w:sz w:val="20"/>
          <w:szCs w:val="20"/>
          <w:color w:val="auto"/>
        </w:rPr>
      </w:pPr>
      <w:r>
        <w:rPr>
          <w:rFonts w:ascii="Times New Roman" w:cs="Times New Roman" w:eastAsia="Times New Roman" w:hAnsi="Times New Roman"/>
          <w:sz w:val="14"/>
          <w:szCs w:val="14"/>
          <w:color w:val="auto"/>
        </w:rPr>
        <w:t>The depositary may convert currency itself or through any of its affiliates, or the custodian or we may convert currency and pay U.S. dollars to the depositary. Where the depositary converts currency itself or</w:t>
      </w: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20" w:name="page21"/>
    <w:bookmarkEnd w:id="20"/>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60" w:right="1299"/>
        <w:spacing w:after="0" w:line="246" w:lineRule="auto"/>
        <w:rPr>
          <w:sz w:val="20"/>
          <w:szCs w:val="20"/>
          <w:color w:val="auto"/>
        </w:rPr>
      </w:pPr>
      <w:r>
        <w:rPr>
          <w:rFonts w:ascii="Times New Roman" w:cs="Times New Roman" w:eastAsia="Times New Roman" w:hAnsi="Times New Roman"/>
          <w:sz w:val="14"/>
          <w:szCs w:val="14"/>
          <w:color w:val="auto"/>
        </w:rPr>
        <w:t>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3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Payment of Taxes</w:t>
      </w:r>
    </w:p>
    <w:p>
      <w:pPr>
        <w:spacing w:after="0" w:line="129" w:lineRule="exact"/>
        <w:rPr>
          <w:sz w:val="20"/>
          <w:szCs w:val="20"/>
          <w:color w:val="auto"/>
        </w:rPr>
      </w:pPr>
    </w:p>
    <w:p>
      <w:pPr>
        <w:ind w:left="1260" w:right="1359" w:firstLine="284"/>
        <w:spacing w:after="0" w:line="249" w:lineRule="auto"/>
        <w:rPr>
          <w:sz w:val="20"/>
          <w:szCs w:val="20"/>
          <w:color w:val="auto"/>
        </w:rPr>
      </w:pPr>
      <w:r>
        <w:rPr>
          <w:rFonts w:ascii="Times New Roman" w:cs="Times New Roman" w:eastAsia="Times New Roman" w:hAnsi="Times New Roman"/>
          <w:sz w:val="14"/>
          <w:szCs w:val="14"/>
          <w:color w:val="auto"/>
        </w:rPr>
        <w:t>You will be responsible for any taxes or other governmental charges payable on the ADSs or on the deposited securities represented by any of the ADSs. The depositary may refuse to register any transfer of the ADSs or allow you to withdraw the deposited securities represented by the ADSs until those taxes or other charges are paid. It may apply payments owed to you or sell deposited securities represented by the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Tender and Exchange Offers; Redemption, Replacement or Cancellation of Deposited Securities</w:t>
      </w:r>
    </w:p>
    <w:p>
      <w:pPr>
        <w:spacing w:after="0" w:line="120" w:lineRule="exact"/>
        <w:rPr>
          <w:sz w:val="20"/>
          <w:szCs w:val="20"/>
          <w:color w:val="auto"/>
        </w:rPr>
      </w:pPr>
    </w:p>
    <w:p>
      <w:pPr>
        <w:jc w:val="both"/>
        <w:ind w:left="1260" w:right="1519" w:firstLine="284"/>
        <w:spacing w:after="0" w:line="264" w:lineRule="auto"/>
        <w:rPr>
          <w:sz w:val="20"/>
          <w:szCs w:val="20"/>
          <w:color w:val="auto"/>
        </w:rPr>
      </w:pPr>
      <w:r>
        <w:rPr>
          <w:rFonts w:ascii="Times New Roman" w:cs="Times New Roman" w:eastAsia="Times New Roman" w:hAnsi="Times New Roman"/>
          <w:sz w:val="14"/>
          <w:szCs w:val="14"/>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77" w:lineRule="exact"/>
        <w:rPr>
          <w:sz w:val="20"/>
          <w:szCs w:val="20"/>
          <w:color w:val="auto"/>
        </w:rPr>
      </w:pPr>
    </w:p>
    <w:p>
      <w:pPr>
        <w:ind w:left="1260" w:right="1299" w:firstLine="284"/>
        <w:spacing w:after="0" w:line="264" w:lineRule="auto"/>
        <w:rPr>
          <w:sz w:val="20"/>
          <w:szCs w:val="20"/>
          <w:color w:val="auto"/>
        </w:rPr>
      </w:pPr>
      <w:r>
        <w:rPr>
          <w:rFonts w:ascii="Times New Roman" w:cs="Times New Roman" w:eastAsia="Times New Roman" w:hAnsi="Times New Roman"/>
          <w:sz w:val="14"/>
          <w:szCs w:val="14"/>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77" w:lineRule="exact"/>
        <w:rPr>
          <w:sz w:val="20"/>
          <w:szCs w:val="20"/>
          <w:color w:val="auto"/>
        </w:rPr>
      </w:pPr>
    </w:p>
    <w:p>
      <w:pPr>
        <w:ind w:left="1260" w:right="1399" w:firstLine="284"/>
        <w:spacing w:after="0" w:line="248" w:lineRule="auto"/>
        <w:rPr>
          <w:sz w:val="20"/>
          <w:szCs w:val="20"/>
          <w:color w:val="auto"/>
        </w:rPr>
      </w:pPr>
      <w:r>
        <w:rPr>
          <w:rFonts w:ascii="Times New Roman" w:cs="Times New Roman" w:eastAsia="Times New Roman" w:hAnsi="Times New Roman"/>
          <w:sz w:val="14"/>
          <w:szCs w:val="14"/>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255" w:lineRule="exact"/>
        <w:rPr>
          <w:sz w:val="20"/>
          <w:szCs w:val="20"/>
          <w:color w:val="auto"/>
        </w:rPr>
      </w:pPr>
    </w:p>
    <w:p>
      <w:pPr>
        <w:ind w:left="1260" w:right="1279" w:firstLine="284"/>
        <w:spacing w:after="0" w:line="257" w:lineRule="auto"/>
        <w:rPr>
          <w:sz w:val="20"/>
          <w:szCs w:val="20"/>
          <w:color w:val="auto"/>
        </w:rPr>
      </w:pPr>
      <w:r>
        <w:rPr>
          <w:rFonts w:ascii="Times New Roman" w:cs="Times New Roman" w:eastAsia="Times New Roman" w:hAnsi="Times New Roman"/>
          <w:sz w:val="14"/>
          <w:szCs w:val="14"/>
          <w:color w:val="auto"/>
        </w:rPr>
        <w:t>If there is a replacement of the deposited securities and the depositary will continue to hold the replacement securities, the depositary may distribute new ADSs representing the new deposited securities or ask you to surrender your outstanding ADSs in exchange for new ADSs identifying the new deposited securities.</w:t>
      </w:r>
    </w:p>
    <w:p>
      <w:pPr>
        <w:spacing w:after="0" w:line="251" w:lineRule="exact"/>
        <w:rPr>
          <w:sz w:val="20"/>
          <w:szCs w:val="20"/>
          <w:color w:val="auto"/>
        </w:rPr>
      </w:pPr>
    </w:p>
    <w:p>
      <w:pPr>
        <w:ind w:left="1260" w:right="1279" w:firstLine="284"/>
        <w:spacing w:after="0" w:line="264" w:lineRule="auto"/>
        <w:rPr>
          <w:sz w:val="20"/>
          <w:szCs w:val="20"/>
          <w:color w:val="auto"/>
        </w:rPr>
      </w:pPr>
      <w:r>
        <w:rPr>
          <w:rFonts w:ascii="Times New Roman" w:cs="Times New Roman" w:eastAsia="Times New Roman" w:hAnsi="Times New Roman"/>
          <w:sz w:val="14"/>
          <w:szCs w:val="14"/>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1" w:name="page22"/>
    <w:bookmarkEnd w:id="21"/>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Amendment and Termination</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How May the Deposit Agreement Be Amended?</w:t>
      </w:r>
    </w:p>
    <w:p>
      <w:pPr>
        <w:spacing w:after="0" w:line="120" w:lineRule="exact"/>
        <w:rPr>
          <w:sz w:val="20"/>
          <w:szCs w:val="20"/>
          <w:color w:val="auto"/>
        </w:rPr>
      </w:pPr>
    </w:p>
    <w:p>
      <w:pPr>
        <w:ind w:left="1260" w:right="1279" w:firstLine="284"/>
        <w:spacing w:after="0"/>
        <w:rPr>
          <w:sz w:val="20"/>
          <w:szCs w:val="20"/>
          <w:color w:val="auto"/>
        </w:rPr>
      </w:pPr>
      <w:r>
        <w:rPr>
          <w:rFonts w:ascii="Times New Roman" w:cs="Times New Roman" w:eastAsia="Times New Roman" w:hAnsi="Times New Roman"/>
          <w:sz w:val="14"/>
          <w:szCs w:val="14"/>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w:t>
      </w:r>
    </w:p>
    <w:p>
      <w:pPr>
        <w:spacing w:after="0" w:line="2" w:lineRule="exact"/>
        <w:rPr>
          <w:sz w:val="20"/>
          <w:szCs w:val="20"/>
          <w:color w:val="auto"/>
        </w:rPr>
      </w:pPr>
    </w:p>
    <w:p>
      <w:pPr>
        <w:jc w:val="both"/>
        <w:ind w:left="1260" w:right="1419"/>
        <w:spacing w:after="0" w:line="237" w:lineRule="auto"/>
        <w:rPr>
          <w:sz w:val="20"/>
          <w:szCs w:val="20"/>
          <w:color w:val="auto"/>
        </w:rPr>
      </w:pPr>
      <w:r>
        <w:rPr>
          <w:rFonts w:ascii="Times New Roman" w:cs="Times New Roman" w:eastAsia="Times New Roman" w:hAnsi="Times New Roman"/>
          <w:sz w:val="14"/>
          <w:szCs w:val="14"/>
          <w:color w:val="auto"/>
        </w:rPr>
        <w:t>30 days after the depositary notifies ADS holders of the amendment. At the time an amendment becomes effective, you are considered, by continuing to hold the ADSs, to agree to the amendment and to be bound by the ADRs and the deposit agreement as amended.</w:t>
      </w:r>
    </w:p>
    <w:p>
      <w:pPr>
        <w:spacing w:after="0" w:line="1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How May the Deposit Agreement Be Terminated?</w:t>
      </w:r>
    </w:p>
    <w:p>
      <w:pPr>
        <w:spacing w:after="0" w:line="110" w:lineRule="exact"/>
        <w:rPr>
          <w:sz w:val="20"/>
          <w:szCs w:val="20"/>
          <w:color w:val="auto"/>
        </w:rPr>
      </w:pPr>
    </w:p>
    <w:p>
      <w:pPr>
        <w:ind w:left="1260" w:right="1859" w:firstLine="284"/>
        <w:spacing w:after="0" w:line="273" w:lineRule="auto"/>
        <w:rPr>
          <w:sz w:val="20"/>
          <w:szCs w:val="20"/>
          <w:color w:val="auto"/>
        </w:rPr>
      </w:pPr>
      <w:r>
        <w:rPr>
          <w:rFonts w:ascii="Times New Roman" w:cs="Times New Roman" w:eastAsia="Times New Roman" w:hAnsi="Times New Roman"/>
          <w:sz w:val="14"/>
          <w:szCs w:val="14"/>
          <w:color w:val="auto"/>
        </w:rPr>
        <w:t>The depositary will initiate termination of the deposit agreement if we instruct it to do so. The depositary may initiate termination of the deposit agreement if</w:t>
      </w:r>
    </w:p>
    <w:p>
      <w:pPr>
        <w:spacing w:after="0" w:line="39" w:lineRule="exact"/>
        <w:rPr>
          <w:sz w:val="20"/>
          <w:szCs w:val="20"/>
          <w:color w:val="auto"/>
        </w:rPr>
      </w:pPr>
    </w:p>
    <w:p>
      <w:pPr>
        <w:ind w:left="1680" w:right="1319" w:hanging="135"/>
        <w:spacing w:after="0" w:line="289" w:lineRule="auto"/>
        <w:tabs>
          <w:tab w:leader="none" w:pos="16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 days have passed since the depositary told us it wants to resign but a successor depositary has not been appointed and accepted its appointment;</w:t>
      </w:r>
    </w:p>
    <w:p>
      <w:pPr>
        <w:spacing w:after="0" w:line="28" w:lineRule="exact"/>
        <w:rPr>
          <w:rFonts w:ascii="Times New Roman" w:cs="Times New Roman" w:eastAsia="Times New Roman" w:hAnsi="Times New Roman"/>
          <w:sz w:val="14"/>
          <w:szCs w:val="14"/>
          <w:color w:val="auto"/>
        </w:rPr>
      </w:pPr>
    </w:p>
    <w:p>
      <w:pPr>
        <w:ind w:left="1680" w:right="1279" w:hanging="135"/>
        <w:spacing w:after="0" w:line="272" w:lineRule="auto"/>
        <w:tabs>
          <w:tab w:leader="none" w:pos="16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39" w:lineRule="exact"/>
        <w:rPr>
          <w:rFonts w:ascii="Times New Roman" w:cs="Times New Roman" w:eastAsia="Times New Roman" w:hAnsi="Times New Roman"/>
          <w:sz w:val="14"/>
          <w:szCs w:val="14"/>
          <w:color w:val="auto"/>
        </w:rPr>
      </w:pPr>
    </w:p>
    <w:p>
      <w:pPr>
        <w:ind w:left="1680" w:right="1279" w:hanging="135"/>
        <w:spacing w:after="0" w:line="289" w:lineRule="auto"/>
        <w:tabs>
          <w:tab w:leader="none" w:pos="16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delist our shares from an exchange outside the United States on which they were listed and do not list the shares on another exchange outside the United States;</w:t>
      </w:r>
    </w:p>
    <w:p>
      <w:pPr>
        <w:spacing w:after="0" w:line="28" w:lineRule="exact"/>
        <w:rPr>
          <w:rFonts w:ascii="Times New Roman" w:cs="Times New Roman" w:eastAsia="Times New Roman" w:hAnsi="Times New Roman"/>
          <w:sz w:val="14"/>
          <w:szCs w:val="14"/>
          <w:color w:val="auto"/>
        </w:rPr>
      </w:pPr>
    </w:p>
    <w:p>
      <w:pPr>
        <w:ind w:left="1680" w:right="1959" w:hanging="135"/>
        <w:spacing w:after="0" w:line="289" w:lineRule="auto"/>
        <w:tabs>
          <w:tab w:leader="none" w:pos="16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has reason to believe the ADSs have become, or will become, ineligible for registration on Form F-6 under the Securities Act of 1933;</w:t>
      </w:r>
    </w:p>
    <w:p>
      <w:pPr>
        <w:spacing w:after="0" w:line="39"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appear to be insolvent or enter insolvency proceedings;</w:t>
      </w:r>
    </w:p>
    <w:p>
      <w:pPr>
        <w:spacing w:after="0" w:line="84" w:lineRule="exact"/>
        <w:rPr>
          <w:rFonts w:ascii="Times New Roman" w:cs="Times New Roman" w:eastAsia="Times New Roman" w:hAnsi="Times New Roman"/>
          <w:sz w:val="14"/>
          <w:szCs w:val="14"/>
          <w:color w:val="auto"/>
        </w:rPr>
      </w:pPr>
    </w:p>
    <w:p>
      <w:pPr>
        <w:ind w:left="1680" w:right="1479" w:hanging="135"/>
        <w:spacing w:after="0" w:line="289" w:lineRule="auto"/>
        <w:tabs>
          <w:tab w:leader="none" w:pos="16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substantially all the value of the deposited securities has been distributed either in cash or in the form of securities;</w:t>
      </w:r>
    </w:p>
    <w:p>
      <w:pPr>
        <w:spacing w:after="0" w:line="28" w:lineRule="exact"/>
        <w:rPr>
          <w:rFonts w:ascii="Times New Roman" w:cs="Times New Roman" w:eastAsia="Times New Roman" w:hAnsi="Times New Roman"/>
          <w:sz w:val="14"/>
          <w:szCs w:val="14"/>
          <w:color w:val="auto"/>
        </w:rPr>
      </w:pPr>
    </w:p>
    <w:p>
      <w:pPr>
        <w:ind w:left="1680" w:right="1519" w:hanging="135"/>
        <w:spacing w:after="0" w:line="289" w:lineRule="auto"/>
        <w:tabs>
          <w:tab w:leader="none" w:pos="16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deposited securities underlying the ADSs or the underlying deposited securities have become apparently worthless; or</w:t>
      </w:r>
    </w:p>
    <w:p>
      <w:pPr>
        <w:spacing w:after="0" w:line="28"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been a replacement of deposited securities.</w:t>
      </w:r>
    </w:p>
    <w:p>
      <w:pPr>
        <w:spacing w:after="0" w:line="116" w:lineRule="exact"/>
        <w:rPr>
          <w:sz w:val="20"/>
          <w:szCs w:val="20"/>
          <w:color w:val="auto"/>
        </w:rPr>
      </w:pPr>
    </w:p>
    <w:p>
      <w:pPr>
        <w:ind w:left="1260" w:right="1319" w:firstLine="284"/>
        <w:spacing w:after="0" w:line="239" w:lineRule="auto"/>
        <w:rPr>
          <w:sz w:val="20"/>
          <w:szCs w:val="20"/>
          <w:color w:val="auto"/>
        </w:rPr>
      </w:pPr>
      <w:r>
        <w:rPr>
          <w:rFonts w:ascii="Times New Roman" w:cs="Times New Roman" w:eastAsia="Times New Roman" w:hAnsi="Times New Roman"/>
          <w:sz w:val="14"/>
          <w:szCs w:val="14"/>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94" w:lineRule="exact"/>
        <w:rPr>
          <w:sz w:val="20"/>
          <w:szCs w:val="20"/>
          <w:color w:val="auto"/>
        </w:rPr>
      </w:pPr>
    </w:p>
    <w:p>
      <w:pPr>
        <w:ind w:left="1260" w:right="1299" w:firstLine="284"/>
        <w:spacing w:after="0" w:line="248" w:lineRule="auto"/>
        <w:rPr>
          <w:sz w:val="20"/>
          <w:szCs w:val="20"/>
          <w:color w:val="auto"/>
        </w:rPr>
      </w:pPr>
      <w:r>
        <w:rPr>
          <w:rFonts w:ascii="Times New Roman" w:cs="Times New Roman" w:eastAsia="Times New Roman" w:hAnsi="Times New Roman"/>
          <w:sz w:val="14"/>
          <w:szCs w:val="14"/>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Limitations on Obligations and Liability</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Limits on Our Obligations and the Obligations of the Depositary; Limits on Liability to Holders of ADSs</w:t>
      </w:r>
    </w:p>
    <w:p>
      <w:pPr>
        <w:spacing w:after="0" w:line="131" w:lineRule="exact"/>
        <w:rPr>
          <w:sz w:val="20"/>
          <w:szCs w:val="20"/>
          <w:color w:val="auto"/>
        </w:rPr>
      </w:pPr>
    </w:p>
    <w:p>
      <w:pPr>
        <w:ind w:left="1260" w:right="1539" w:firstLine="284"/>
        <w:spacing w:after="0" w:line="273" w:lineRule="auto"/>
        <w:rPr>
          <w:sz w:val="20"/>
          <w:szCs w:val="20"/>
          <w:color w:val="auto"/>
        </w:rPr>
      </w:pPr>
      <w:r>
        <w:rPr>
          <w:rFonts w:ascii="Times New Roman" w:cs="Times New Roman" w:eastAsia="Times New Roman" w:hAnsi="Times New Roman"/>
          <w:sz w:val="14"/>
          <w:szCs w:val="14"/>
          <w:color w:val="auto"/>
        </w:rPr>
        <w:t>The deposit agreement expressly limits our obligations and the obligations of the depositary. It also limits our liability and the liability of the depositary. We and the depositary:</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2" w:name="page23"/>
    <w:bookmarkEnd w:id="22"/>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80" w:right="1659" w:hanging="135"/>
        <w:spacing w:after="0" w:line="272" w:lineRule="auto"/>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only obligated to take the actions specifically set forth in the deposit agreement without negligence or bad faith, and the depositary will not be a fiduciary or have any fiduciary duty to holders of ADSs;</w:t>
      </w:r>
    </w:p>
    <w:p>
      <w:pPr>
        <w:spacing w:after="0" w:line="50" w:lineRule="exact"/>
        <w:rPr>
          <w:rFonts w:ascii="Times New Roman" w:cs="Times New Roman" w:eastAsia="Times New Roman" w:hAnsi="Times New Roman"/>
          <w:sz w:val="14"/>
          <w:szCs w:val="14"/>
          <w:color w:val="auto"/>
        </w:rPr>
      </w:pPr>
    </w:p>
    <w:p>
      <w:pPr>
        <w:ind w:left="1680" w:right="1319" w:hanging="135"/>
        <w:spacing w:after="0" w:line="272" w:lineRule="auto"/>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50"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if we or it exercises discretion permitted under the deposit agreement;</w:t>
      </w:r>
    </w:p>
    <w:p>
      <w:pPr>
        <w:spacing w:after="0" w:line="84" w:lineRule="exact"/>
        <w:rPr>
          <w:rFonts w:ascii="Times New Roman" w:cs="Times New Roman" w:eastAsia="Times New Roman" w:hAnsi="Times New Roman"/>
          <w:sz w:val="14"/>
          <w:szCs w:val="14"/>
          <w:color w:val="auto"/>
        </w:rPr>
      </w:pPr>
    </w:p>
    <w:p>
      <w:pPr>
        <w:ind w:left="1680" w:right="1339" w:hanging="135"/>
        <w:spacing w:after="0" w:line="269" w:lineRule="auto"/>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226" w:lineRule="exact"/>
        <w:rPr>
          <w:rFonts w:ascii="Times New Roman" w:cs="Times New Roman" w:eastAsia="Times New Roman" w:hAnsi="Times New Roman"/>
          <w:sz w:val="14"/>
          <w:szCs w:val="14"/>
          <w:color w:val="auto"/>
        </w:rPr>
      </w:pPr>
    </w:p>
    <w:p>
      <w:pPr>
        <w:ind w:left="1680" w:right="1479" w:hanging="135"/>
        <w:spacing w:after="0" w:line="289" w:lineRule="auto"/>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no obligation to become involved in a lawsuit or other proceeding related to the ADSs or the deposit agreement on your behalf or on behalf of any other person;</w:t>
      </w:r>
    </w:p>
    <w:p>
      <w:pPr>
        <w:spacing w:after="0" w:line="39" w:lineRule="exact"/>
        <w:rPr>
          <w:rFonts w:ascii="Times New Roman" w:cs="Times New Roman" w:eastAsia="Times New Roman" w:hAnsi="Times New Roman"/>
          <w:sz w:val="14"/>
          <w:szCs w:val="14"/>
          <w:color w:val="auto"/>
        </w:rPr>
      </w:pPr>
    </w:p>
    <w:p>
      <w:pPr>
        <w:ind w:left="1680" w:right="1359" w:hanging="135"/>
        <w:spacing w:after="0" w:line="289" w:lineRule="auto"/>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rely upon any documents we believe or it believes in good faith to be genuine and to have been signed or presented by the proper person;</w:t>
      </w:r>
    </w:p>
    <w:p>
      <w:pPr>
        <w:spacing w:after="0" w:line="39" w:lineRule="exact"/>
        <w:rPr>
          <w:rFonts w:ascii="Times New Roman" w:cs="Times New Roman" w:eastAsia="Times New Roman" w:hAnsi="Times New Roman"/>
          <w:sz w:val="14"/>
          <w:szCs w:val="14"/>
          <w:color w:val="auto"/>
        </w:rPr>
      </w:pPr>
    </w:p>
    <w:p>
      <w:pPr>
        <w:ind w:left="1680" w:right="1539" w:hanging="135"/>
        <w:spacing w:after="0" w:line="289" w:lineRule="auto"/>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for the acts or omissions of any securities depository, clearing agency or settlement system; and</w:t>
      </w:r>
    </w:p>
    <w:p>
      <w:pPr>
        <w:spacing w:after="0" w:line="28" w:lineRule="exact"/>
        <w:rPr>
          <w:rFonts w:ascii="Times New Roman" w:cs="Times New Roman" w:eastAsia="Times New Roman" w:hAnsi="Times New Roman"/>
          <w:sz w:val="14"/>
          <w:szCs w:val="14"/>
          <w:color w:val="auto"/>
        </w:rPr>
      </w:pPr>
    </w:p>
    <w:p>
      <w:pPr>
        <w:ind w:left="1680" w:right="1299" w:hanging="135"/>
        <w:spacing w:after="0" w:line="264" w:lineRule="auto"/>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263" w:lineRule="exact"/>
        <w:rPr>
          <w:sz w:val="20"/>
          <w:szCs w:val="20"/>
          <w:color w:val="auto"/>
        </w:rPr>
      </w:pPr>
    </w:p>
    <w:p>
      <w:pPr>
        <w:ind w:left="1260" w:right="1979" w:firstLine="284"/>
        <w:spacing w:after="0" w:line="273" w:lineRule="auto"/>
        <w:rPr>
          <w:sz w:val="20"/>
          <w:szCs w:val="20"/>
          <w:color w:val="auto"/>
        </w:rPr>
      </w:pPr>
      <w:r>
        <w:rPr>
          <w:rFonts w:ascii="Times New Roman" w:cs="Times New Roman" w:eastAsia="Times New Roman" w:hAnsi="Times New Roman"/>
          <w:sz w:val="14"/>
          <w:szCs w:val="14"/>
          <w:color w:val="auto"/>
        </w:rPr>
        <w:t>In the deposit agreement, we and the depositary agree to indemnify each other under certain circumstances.</w:t>
      </w:r>
    </w:p>
    <w:p>
      <w:pPr>
        <w:spacing w:after="0" w:line="1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Requirements for Depositary Actions</w:t>
      </w:r>
    </w:p>
    <w:p>
      <w:pPr>
        <w:spacing w:after="0" w:line="118" w:lineRule="exact"/>
        <w:rPr>
          <w:sz w:val="20"/>
          <w:szCs w:val="20"/>
          <w:color w:val="auto"/>
        </w:rPr>
      </w:pPr>
    </w:p>
    <w:p>
      <w:pPr>
        <w:ind w:left="1260" w:right="1659" w:firstLine="284"/>
        <w:spacing w:after="0" w:line="289" w:lineRule="auto"/>
        <w:rPr>
          <w:sz w:val="20"/>
          <w:szCs w:val="20"/>
          <w:color w:val="auto"/>
        </w:rPr>
      </w:pPr>
      <w:r>
        <w:rPr>
          <w:rFonts w:ascii="Times New Roman" w:cs="Times New Roman" w:eastAsia="Times New Roman" w:hAnsi="Times New Roman"/>
          <w:sz w:val="14"/>
          <w:szCs w:val="14"/>
          <w:color w:val="auto"/>
        </w:rPr>
        <w:t>Before the depositary will deliver or register a transfer of ADSs, make a distribution on ADSs, or permit withdrawal of shares, the depositary may require:</w:t>
      </w:r>
    </w:p>
    <w:p>
      <w:pPr>
        <w:spacing w:after="0" w:line="28" w:lineRule="exact"/>
        <w:rPr>
          <w:sz w:val="20"/>
          <w:szCs w:val="20"/>
          <w:color w:val="auto"/>
        </w:rPr>
      </w:pPr>
    </w:p>
    <w:p>
      <w:pPr>
        <w:ind w:left="1680" w:right="1479" w:hanging="135"/>
        <w:spacing w:after="0" w:line="289" w:lineRule="auto"/>
        <w:tabs>
          <w:tab w:leader="none" w:pos="16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stock transfer or other taxes or other governmental charges and transfer or registration fees charged by third parties for the transfer of any shares or other deposited securities;</w:t>
      </w:r>
    </w:p>
    <w:p>
      <w:pPr>
        <w:spacing w:after="0" w:line="28" w:lineRule="exact"/>
        <w:rPr>
          <w:rFonts w:ascii="Times New Roman" w:cs="Times New Roman" w:eastAsia="Times New Roman" w:hAnsi="Times New Roman"/>
          <w:sz w:val="14"/>
          <w:szCs w:val="14"/>
          <w:color w:val="auto"/>
        </w:rPr>
      </w:pPr>
    </w:p>
    <w:p>
      <w:pPr>
        <w:ind w:left="1680" w:right="1599" w:hanging="135"/>
        <w:spacing w:after="0" w:line="289" w:lineRule="auto"/>
        <w:tabs>
          <w:tab w:leader="none" w:pos="16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proof of the identity and genuineness of any signature or other information it deems necessary; and</w:t>
      </w:r>
    </w:p>
    <w:p>
      <w:pPr>
        <w:spacing w:after="0" w:line="39" w:lineRule="exact"/>
        <w:rPr>
          <w:rFonts w:ascii="Times New Roman" w:cs="Times New Roman" w:eastAsia="Times New Roman" w:hAnsi="Times New Roman"/>
          <w:sz w:val="14"/>
          <w:szCs w:val="14"/>
          <w:color w:val="auto"/>
        </w:rPr>
      </w:pPr>
    </w:p>
    <w:p>
      <w:pPr>
        <w:ind w:left="1680" w:right="1879" w:hanging="135"/>
        <w:spacing w:after="0" w:line="289" w:lineRule="auto"/>
        <w:tabs>
          <w:tab w:leader="none" w:pos="16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regulations it may establish, from time to time, consistent with the deposit agreement, including presentation of transfer documents.</w:t>
      </w:r>
    </w:p>
    <w:p>
      <w:pPr>
        <w:spacing w:after="0" w:line="71" w:lineRule="exact"/>
        <w:rPr>
          <w:sz w:val="20"/>
          <w:szCs w:val="20"/>
          <w:color w:val="auto"/>
        </w:rPr>
      </w:pPr>
    </w:p>
    <w:p>
      <w:pPr>
        <w:ind w:left="1260" w:right="1299" w:firstLine="284"/>
        <w:spacing w:after="0" w:line="273" w:lineRule="auto"/>
        <w:rPr>
          <w:sz w:val="20"/>
          <w:szCs w:val="20"/>
          <w:color w:val="auto"/>
        </w:rPr>
      </w:pPr>
      <w:r>
        <w:rPr>
          <w:rFonts w:ascii="Times New Roman" w:cs="Times New Roman" w:eastAsia="Times New Roman" w:hAnsi="Times New Roman"/>
          <w:sz w:val="14"/>
          <w:szCs w:val="14"/>
          <w:color w:val="auto"/>
        </w:rPr>
        <w:t>The depositary may refuse to deliver ADSs or register transfers of ADSs when the transfer books of the depositary or our transfer books are closed or at any time if the depositary or we think it advisable to do so.</w:t>
      </w:r>
    </w:p>
    <w:p>
      <w:pPr>
        <w:spacing w:after="0" w:line="1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Your Right to Receive the Shares Underlying the ADSs</w:t>
      </w:r>
    </w:p>
    <w:p>
      <w:pPr>
        <w:spacing w:after="0" w:line="129" w:lineRule="exact"/>
        <w:rPr>
          <w:sz w:val="20"/>
          <w:szCs w:val="20"/>
          <w:color w:val="auto"/>
        </w:rPr>
      </w:pPr>
    </w:p>
    <w:p>
      <w:pPr>
        <w:ind w:left="1260" w:right="1699" w:firstLine="284"/>
        <w:spacing w:after="0" w:line="273" w:lineRule="auto"/>
        <w:rPr>
          <w:sz w:val="20"/>
          <w:szCs w:val="20"/>
          <w:color w:val="auto"/>
        </w:rPr>
      </w:pPr>
      <w:r>
        <w:rPr>
          <w:rFonts w:ascii="Times New Roman" w:cs="Times New Roman" w:eastAsia="Times New Roman" w:hAnsi="Times New Roman"/>
          <w:sz w:val="14"/>
          <w:szCs w:val="14"/>
          <w:color w:val="auto"/>
        </w:rPr>
        <w:t>ADS holders have the right to cancel their ADSs and withdraw the underlying shares at any time except:</w:t>
      </w:r>
    </w:p>
    <w:p>
      <w:pPr>
        <w:spacing w:after="0" w:line="39" w:lineRule="exact"/>
        <w:rPr>
          <w:sz w:val="20"/>
          <w:szCs w:val="20"/>
          <w:color w:val="auto"/>
        </w:rPr>
      </w:pPr>
    </w:p>
    <w:p>
      <w:pPr>
        <w:ind w:left="1680" w:right="1539" w:hanging="135"/>
        <w:spacing w:after="0" w:line="272" w:lineRule="auto"/>
        <w:tabs>
          <w:tab w:leader="none" w:pos="16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50"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you owe money to pay fees, taxes and similar charges; or</w:t>
      </w:r>
    </w:p>
    <w:p>
      <w:pPr>
        <w:spacing w:after="0" w:line="95" w:lineRule="exact"/>
        <w:rPr>
          <w:rFonts w:ascii="Times New Roman" w:cs="Times New Roman" w:eastAsia="Times New Roman" w:hAnsi="Times New Roman"/>
          <w:sz w:val="14"/>
          <w:szCs w:val="14"/>
          <w:color w:val="auto"/>
        </w:rPr>
      </w:pPr>
    </w:p>
    <w:p>
      <w:pPr>
        <w:ind w:left="1680" w:right="1679" w:hanging="135"/>
        <w:spacing w:after="0" w:line="289" w:lineRule="auto"/>
        <w:tabs>
          <w:tab w:leader="none" w:pos="16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it is necessary to prohibit withdrawals in order to comply with any laws or governmental regulations that apply to ADSs or to the withdrawal of shares or other deposited securities.</w:t>
      </w: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3" w:name="page24"/>
    <w:bookmarkEnd w:id="23"/>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This right of withdrawal may not be limited by any other provision of the deposit agreement.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Direct Registration System</w:t>
      </w:r>
    </w:p>
    <w:p>
      <w:pPr>
        <w:spacing w:after="0" w:line="129" w:lineRule="exact"/>
        <w:rPr>
          <w:sz w:val="20"/>
          <w:szCs w:val="20"/>
          <w:color w:val="auto"/>
        </w:rPr>
      </w:pPr>
    </w:p>
    <w:p>
      <w:pPr>
        <w:jc w:val="both"/>
        <w:ind w:left="1260" w:right="1359" w:firstLine="284"/>
        <w:spacing w:after="0" w:line="259" w:lineRule="auto"/>
        <w:rPr>
          <w:sz w:val="20"/>
          <w:szCs w:val="20"/>
          <w:color w:val="auto"/>
        </w:rPr>
      </w:pPr>
      <w:r>
        <w:rPr>
          <w:rFonts w:ascii="Times New Roman" w:cs="Times New Roman" w:eastAsia="Times New Roman" w:hAnsi="Times New Roman"/>
          <w:sz w:val="14"/>
          <w:szCs w:val="14"/>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w:t>
      </w:r>
    </w:p>
    <w:p>
      <w:pPr>
        <w:spacing w:after="0" w:line="2" w:lineRule="exact"/>
        <w:rPr>
          <w:sz w:val="20"/>
          <w:szCs w:val="20"/>
          <w:color w:val="auto"/>
        </w:rPr>
      </w:pPr>
    </w:p>
    <w:p>
      <w:pPr>
        <w:jc w:val="both"/>
        <w:ind w:left="1260" w:right="1319"/>
        <w:spacing w:after="0" w:line="259" w:lineRule="auto"/>
        <w:rPr>
          <w:sz w:val="20"/>
          <w:szCs w:val="20"/>
          <w:color w:val="auto"/>
        </w:rPr>
      </w:pPr>
      <w:r>
        <w:rPr>
          <w:rFonts w:ascii="Times New Roman" w:cs="Times New Roman" w:eastAsia="Times New Roman" w:hAnsi="Times New Roman"/>
          <w:sz w:val="14"/>
          <w:szCs w:val="14"/>
          <w:color w:val="auto"/>
        </w:rPr>
        <w:t>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91" w:lineRule="exact"/>
        <w:rPr>
          <w:sz w:val="20"/>
          <w:szCs w:val="20"/>
          <w:color w:val="auto"/>
        </w:rPr>
      </w:pPr>
    </w:p>
    <w:p>
      <w:pPr>
        <w:ind w:left="1260" w:right="1299" w:firstLine="284"/>
        <w:spacing w:after="0" w:line="259" w:lineRule="auto"/>
        <w:rPr>
          <w:sz w:val="20"/>
          <w:szCs w:val="20"/>
          <w:color w:val="auto"/>
        </w:rPr>
      </w:pPr>
      <w:r>
        <w:rPr>
          <w:rFonts w:ascii="Times New Roman" w:cs="Times New Roman" w:eastAsia="Times New Roman" w:hAnsi="Times New Roman"/>
          <w:sz w:val="14"/>
          <w:szCs w:val="14"/>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Shareholder Communications; Inspection of Register of Holders of ADSs</w:t>
      </w:r>
    </w:p>
    <w:p>
      <w:pPr>
        <w:spacing w:after="0" w:line="118" w:lineRule="exact"/>
        <w:rPr>
          <w:sz w:val="20"/>
          <w:szCs w:val="20"/>
          <w:color w:val="auto"/>
        </w:rPr>
      </w:pPr>
    </w:p>
    <w:p>
      <w:pPr>
        <w:ind w:left="1260" w:right="1319" w:firstLine="284"/>
        <w:spacing w:after="0" w:line="263" w:lineRule="auto"/>
        <w:rPr>
          <w:sz w:val="20"/>
          <w:szCs w:val="20"/>
          <w:color w:val="auto"/>
        </w:rPr>
      </w:pPr>
      <w:r>
        <w:rPr>
          <w:rFonts w:ascii="Times New Roman" w:cs="Times New Roman" w:eastAsia="Times New Roman" w:hAnsi="Times New Roman"/>
          <w:sz w:val="14"/>
          <w:szCs w:val="14"/>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Jury Trial Waiver</w:t>
      </w:r>
    </w:p>
    <w:p>
      <w:pPr>
        <w:spacing w:after="0" w:line="129" w:lineRule="exact"/>
        <w:rPr>
          <w:sz w:val="20"/>
          <w:szCs w:val="20"/>
          <w:color w:val="auto"/>
        </w:rPr>
      </w:pPr>
    </w:p>
    <w:p>
      <w:pPr>
        <w:ind w:left="1260" w:right="1319" w:firstLine="284"/>
        <w:spacing w:after="0" w:line="260" w:lineRule="auto"/>
        <w:rPr>
          <w:sz w:val="20"/>
          <w:szCs w:val="20"/>
          <w:color w:val="auto"/>
        </w:rPr>
      </w:pPr>
      <w:r>
        <w:rPr>
          <w:rFonts w:ascii="Times New Roman" w:cs="Times New Roman" w:eastAsia="Times New Roman" w:hAnsi="Times New Roman"/>
          <w:sz w:val="14"/>
          <w:szCs w:val="14"/>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You will not, by agreeing to the terms of the deposit agreement, be deemed to have waived our or the depositary’s compliance with U.S. federal securities laws or the rules and regulations promulgated thereunder.</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Jurisdiction</w:t>
      </w:r>
    </w:p>
    <w:p>
      <w:pPr>
        <w:spacing w:after="0" w:line="129" w:lineRule="exact"/>
        <w:rPr>
          <w:sz w:val="20"/>
          <w:szCs w:val="20"/>
          <w:color w:val="auto"/>
        </w:rPr>
      </w:pPr>
    </w:p>
    <w:p>
      <w:pPr>
        <w:ind w:left="1260" w:right="1279" w:firstLine="284"/>
        <w:spacing w:after="0" w:line="258" w:lineRule="auto"/>
        <w:rPr>
          <w:sz w:val="20"/>
          <w:szCs w:val="20"/>
          <w:color w:val="auto"/>
        </w:rPr>
      </w:pPr>
      <w:r>
        <w:rPr>
          <w:rFonts w:ascii="Times New Roman" w:cs="Times New Roman" w:eastAsia="Times New Roman" w:hAnsi="Times New Roman"/>
          <w:sz w:val="14"/>
          <w:szCs w:val="14"/>
          <w:color w:val="auto"/>
        </w:rPr>
        <w:t>The laws of the State of New York govern the deposit agreement and the ADSs and we have agreed with the depositary that any state or federal court in the State of New York shall have exclusive jurisdiction to hear and determine any dispute arising from or relating in any way to the deposit agreement (including claims arising under both the Securities Act of 1933 and the Securities Exchange Act of 1934)). In addition, we have also agreed with the depositary that any controversy, claim or cause of action brought by any party of the deposit agreement against us arising out of or relating to, among other things, the ADSs or the deposit agreement, or the breach hereof or thereof, may be settled by arbitration in accordance with the International Arbitration Rules of the American Arbitration Association. The arbitration provisions of the deposit agreement do not preclude you from pursuing claims under the Securities Act or the Exchange Act in any state or federal court in the State of New York.</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4" w:name="page25"/>
    <w:bookmarkEnd w:id="24"/>
    <w:p>
      <w:pPr>
        <w:ind w:left="2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ENFORCEABILITY OF CIVIL LIABILITIES</w:t>
      </w:r>
    </w:p>
    <w:p>
      <w:pPr>
        <w:spacing w:after="0" w:line="129" w:lineRule="exact"/>
        <w:rPr>
          <w:sz w:val="20"/>
          <w:szCs w:val="20"/>
          <w:color w:val="auto"/>
        </w:rPr>
      </w:pPr>
    </w:p>
    <w:p>
      <w:pPr>
        <w:ind w:left="1260" w:right="1499" w:firstLine="284"/>
        <w:spacing w:after="0" w:line="264" w:lineRule="auto"/>
        <w:rPr>
          <w:sz w:val="20"/>
          <w:szCs w:val="20"/>
          <w:color w:val="auto"/>
        </w:rPr>
      </w:pPr>
      <w:r>
        <w:rPr>
          <w:rFonts w:ascii="Times New Roman" w:cs="Times New Roman" w:eastAsia="Times New Roman" w:hAnsi="Times New Roman"/>
          <w:sz w:val="14"/>
          <w:szCs w:val="14"/>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45" w:lineRule="exact"/>
        <w:rPr>
          <w:sz w:val="20"/>
          <w:szCs w:val="20"/>
          <w:color w:val="auto"/>
        </w:rPr>
      </w:pPr>
    </w:p>
    <w:p>
      <w:pPr>
        <w:ind w:left="1680" w:hanging="135"/>
        <w:spacing w:after="0"/>
        <w:tabs>
          <w:tab w:leader="none" w:pos="16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stability;</w:t>
      </w:r>
    </w:p>
    <w:p>
      <w:pPr>
        <w:spacing w:after="0" w:line="84"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effective judicial system;</w:t>
      </w:r>
    </w:p>
    <w:p>
      <w:pPr>
        <w:spacing w:after="0" w:line="95"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neutrality;</w:t>
      </w:r>
    </w:p>
    <w:p>
      <w:pPr>
        <w:spacing w:after="0" w:line="95"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absence of exchange control or currency restrictions; and</w:t>
      </w:r>
    </w:p>
    <w:p>
      <w:pPr>
        <w:spacing w:after="0" w:line="84"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professional and support services.</w:t>
      </w:r>
    </w:p>
    <w:p>
      <w:pPr>
        <w:spacing w:after="0" w:line="127" w:lineRule="exact"/>
        <w:rPr>
          <w:sz w:val="20"/>
          <w:szCs w:val="20"/>
          <w:color w:val="auto"/>
        </w:rPr>
      </w:pPr>
    </w:p>
    <w:p>
      <w:pPr>
        <w:ind w:left="1260" w:right="1359" w:firstLine="284"/>
        <w:spacing w:after="0" w:line="273" w:lineRule="auto"/>
        <w:rPr>
          <w:sz w:val="20"/>
          <w:szCs w:val="20"/>
          <w:color w:val="auto"/>
        </w:rPr>
      </w:pPr>
      <w:r>
        <w:rPr>
          <w:rFonts w:ascii="Times New Roman" w:cs="Times New Roman" w:eastAsia="Times New Roman" w:hAnsi="Times New Roman"/>
          <w:sz w:val="14"/>
          <w:szCs w:val="14"/>
          <w:color w:val="auto"/>
        </w:rPr>
        <w:t>However, certain disadvantages accompany incorporation in the Cayman Islands. These disadvantages include but are not limited to:</w:t>
      </w:r>
    </w:p>
    <w:p>
      <w:pPr>
        <w:spacing w:after="0" w:line="39" w:lineRule="exact"/>
        <w:rPr>
          <w:sz w:val="20"/>
          <w:szCs w:val="20"/>
          <w:color w:val="auto"/>
        </w:rPr>
      </w:pPr>
    </w:p>
    <w:p>
      <w:pPr>
        <w:jc w:val="both"/>
        <w:ind w:left="1680" w:right="1499" w:hanging="135"/>
        <w:spacing w:after="0" w:line="272" w:lineRule="auto"/>
        <w:tabs>
          <w:tab w:leader="none" w:pos="16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Cayman Islands has a less developed body of securities laws as compared to the United States and these securities laws provide significantly less protection to investors as compared to those of the United States; and</w:t>
      </w:r>
    </w:p>
    <w:p>
      <w:pPr>
        <w:spacing w:after="0" w:line="50" w:lineRule="exact"/>
        <w:rPr>
          <w:rFonts w:ascii="Times New Roman" w:cs="Times New Roman" w:eastAsia="Times New Roman" w:hAnsi="Times New Roman"/>
          <w:sz w:val="14"/>
          <w:szCs w:val="14"/>
          <w:color w:val="auto"/>
        </w:rPr>
      </w:pPr>
    </w:p>
    <w:p>
      <w:pPr>
        <w:ind w:left="1680" w:right="1619" w:hanging="135"/>
        <w:spacing w:after="0" w:line="289" w:lineRule="auto"/>
        <w:tabs>
          <w:tab w:leader="none" w:pos="16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Cayman Islands companies may not have standing to sue before the federal courts of the United States.</w:t>
      </w:r>
    </w:p>
    <w:p>
      <w:pPr>
        <w:spacing w:after="0" w:line="71" w:lineRule="exact"/>
        <w:rPr>
          <w:sz w:val="20"/>
          <w:szCs w:val="20"/>
          <w:color w:val="auto"/>
        </w:rPr>
      </w:pPr>
    </w:p>
    <w:p>
      <w:pPr>
        <w:ind w:left="1260" w:right="1299" w:firstLine="284"/>
        <w:spacing w:after="0" w:line="256" w:lineRule="auto"/>
        <w:rPr>
          <w:sz w:val="20"/>
          <w:szCs w:val="20"/>
          <w:color w:val="auto"/>
        </w:rPr>
      </w:pPr>
      <w:r>
        <w:rPr>
          <w:rFonts w:ascii="Times New Roman" w:cs="Times New Roman" w:eastAsia="Times New Roman" w:hAnsi="Times New Roman"/>
          <w:sz w:val="14"/>
          <w:szCs w:val="14"/>
          <w:color w:val="auto"/>
        </w:rPr>
        <w:t>Our memorandum and articles of association do not contain provisions requiring that disputes, including those arising under the securities laws of the United States, between us, our officers, directors and shareholders, be arbitrated.</w:t>
      </w:r>
    </w:p>
    <w:p>
      <w:pPr>
        <w:spacing w:after="0" w:line="82" w:lineRule="exact"/>
        <w:rPr>
          <w:sz w:val="20"/>
          <w:szCs w:val="20"/>
          <w:color w:val="auto"/>
        </w:rPr>
      </w:pPr>
    </w:p>
    <w:p>
      <w:pPr>
        <w:ind w:left="1260" w:right="1299" w:firstLine="284"/>
        <w:spacing w:after="0" w:line="252" w:lineRule="auto"/>
        <w:rPr>
          <w:sz w:val="20"/>
          <w:szCs w:val="20"/>
          <w:color w:val="auto"/>
        </w:rPr>
      </w:pPr>
      <w:r>
        <w:rPr>
          <w:rFonts w:ascii="Times New Roman" w:cs="Times New Roman" w:eastAsia="Times New Roman" w:hAnsi="Times New Roman"/>
          <w:sz w:val="14"/>
          <w:szCs w:val="14"/>
          <w:color w:val="auto"/>
        </w:rPr>
        <w:t>Certain of our directors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85" w:lineRule="exact"/>
        <w:rPr>
          <w:sz w:val="20"/>
          <w:szCs w:val="20"/>
          <w:color w:val="auto"/>
        </w:rPr>
      </w:pPr>
    </w:p>
    <w:p>
      <w:pPr>
        <w:ind w:left="1260" w:right="1339" w:firstLine="284"/>
        <w:spacing w:after="0" w:line="264" w:lineRule="auto"/>
        <w:rPr>
          <w:sz w:val="20"/>
          <w:szCs w:val="20"/>
          <w:color w:val="auto"/>
        </w:rPr>
      </w:pPr>
      <w:r>
        <w:rPr>
          <w:rFonts w:ascii="Times New Roman" w:cs="Times New Roman" w:eastAsia="Times New Roman" w:hAnsi="Times New Roman"/>
          <w:sz w:val="14"/>
          <w:szCs w:val="14"/>
          <w:color w:val="auto"/>
        </w:rPr>
        <w:t>We have appointed Cogency Global Inc., located at 122 East 42nd Street, 18th Floor, New York, NY 10168, as our agent upon whom process may be served in any action brought against us under the securities laws of the United States.</w:t>
      </w:r>
    </w:p>
    <w:p>
      <w:pPr>
        <w:spacing w:after="0" w:line="77" w:lineRule="exact"/>
        <w:rPr>
          <w:sz w:val="20"/>
          <w:szCs w:val="20"/>
          <w:color w:val="auto"/>
        </w:rPr>
      </w:pPr>
    </w:p>
    <w:p>
      <w:pPr>
        <w:ind w:left="1260" w:right="1359" w:firstLine="284"/>
        <w:spacing w:after="0" w:line="256" w:lineRule="auto"/>
        <w:rPr>
          <w:sz w:val="20"/>
          <w:szCs w:val="20"/>
          <w:color w:val="auto"/>
        </w:rPr>
      </w:pPr>
      <w:r>
        <w:rPr>
          <w:rFonts w:ascii="Times New Roman" w:cs="Times New Roman" w:eastAsia="Times New Roman" w:hAnsi="Times New Roman"/>
          <w:sz w:val="14"/>
          <w:szCs w:val="14"/>
          <w:color w:val="auto"/>
        </w:rPr>
        <w:t>Maples and Calder (Hong Kong) LLP, our counsel as to Cayman Islands law, and Fangda Partners, our counsel as to PRC law, have advised us, respectively, that the courts of the Cayman Islands and China, respectively, are unlikely:</w:t>
      </w:r>
    </w:p>
    <w:p>
      <w:pPr>
        <w:spacing w:after="0" w:line="50" w:lineRule="exact"/>
        <w:rPr>
          <w:sz w:val="20"/>
          <w:szCs w:val="20"/>
          <w:color w:val="auto"/>
        </w:rPr>
      </w:pPr>
    </w:p>
    <w:p>
      <w:pPr>
        <w:ind w:left="1680" w:right="1519" w:hanging="135"/>
        <w:spacing w:after="0" w:line="272" w:lineRule="auto"/>
        <w:tabs>
          <w:tab w:leader="none" w:pos="16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recognize or enforce judgments of United States courts obtained against us or our directors or officers predicated upon the civil liability provisions of the securities laws of the United States or any state in the United States; and</w:t>
      </w:r>
    </w:p>
    <w:p>
      <w:pPr>
        <w:spacing w:after="0" w:line="50" w:lineRule="exact"/>
        <w:rPr>
          <w:rFonts w:ascii="Times New Roman" w:cs="Times New Roman" w:eastAsia="Times New Roman" w:hAnsi="Times New Roman"/>
          <w:sz w:val="14"/>
          <w:szCs w:val="14"/>
          <w:color w:val="auto"/>
        </w:rPr>
      </w:pPr>
    </w:p>
    <w:p>
      <w:pPr>
        <w:ind w:left="1680" w:right="1359" w:hanging="135"/>
        <w:spacing w:after="0" w:line="269" w:lineRule="auto"/>
        <w:tabs>
          <w:tab w:leader="none" w:pos="16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original actions brought in each respective jurisdiction to impose liabilities against us or our directors or officers predicated upon the civil liability provisions of securities laws of the United States or any state in the United States so far as the liabilities imposed by those provisions are penal in nature.</w:t>
      </w:r>
    </w:p>
    <w:p>
      <w:pPr>
        <w:spacing w:after="0" w:line="3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129" w:lineRule="exact"/>
        <w:rPr>
          <w:sz w:val="20"/>
          <w:szCs w:val="20"/>
          <w:color w:val="auto"/>
        </w:rPr>
      </w:pPr>
    </w:p>
    <w:p>
      <w:pPr>
        <w:ind w:left="1260" w:right="1359" w:firstLine="284"/>
        <w:spacing w:after="0" w:line="248" w:lineRule="auto"/>
        <w:rPr>
          <w:sz w:val="20"/>
          <w:szCs w:val="20"/>
          <w:color w:val="auto"/>
        </w:rPr>
      </w:pPr>
      <w:r>
        <w:rPr>
          <w:rFonts w:ascii="Times New Roman" w:cs="Times New Roman" w:eastAsia="Times New Roman" w:hAnsi="Times New Roman"/>
          <w:sz w:val="14"/>
          <w:szCs w:val="14"/>
          <w:color w:val="auto"/>
        </w:rPr>
        <w:t>Maples and Calder (Hong Kong) LLP has informed us that although there is no statutory enforcement in the Cayman Islands of judgments obtained in the federal or state courts of the United States (and the Cayman Islands is not a party to any treaties for the reciprocal enforcement or recognition of such judgments), the courts of the Cayman Islands will at common law, recognize and enforce a foreign money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(a) is</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5" w:name="page26"/>
    <w:bookmarkEnd w:id="25"/>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60" w:right="1379"/>
        <w:spacing w:after="0" w:line="263" w:lineRule="auto"/>
        <w:rPr>
          <w:sz w:val="20"/>
          <w:szCs w:val="20"/>
          <w:color w:val="auto"/>
        </w:rPr>
      </w:pPr>
      <w:r>
        <w:rPr>
          <w:rFonts w:ascii="Times New Roman" w:cs="Times New Roman" w:eastAsia="Times New Roman" w:hAnsi="Times New Roman"/>
          <w:sz w:val="14"/>
          <w:szCs w:val="14"/>
          <w:color w:val="auto"/>
        </w:rPr>
        <w:t>given by a foreign court of competent jurisdiction, (b) imposes on the judgment debtor a liability to pay a liquidated sum for which the judgment has been given, (c) is final and conclusive, (d) is not in respect of taxes, a fine or a penalty, (e) is not inconsistent with a Cayman Islands judgment in respect of the same matter, and (f) is not impeachable on the grounds of fraud and was not obtained in a manner and is not of a kind the enforcement of which is contrary to natural justice or the public policy of the Cayman Islands.</w:t>
      </w:r>
    </w:p>
    <w:p>
      <w:pPr>
        <w:spacing w:after="0" w:line="89" w:lineRule="exact"/>
        <w:rPr>
          <w:sz w:val="20"/>
          <w:szCs w:val="20"/>
          <w:color w:val="auto"/>
        </w:rPr>
      </w:pPr>
    </w:p>
    <w:p>
      <w:pPr>
        <w:ind w:left="1260" w:right="1339" w:firstLine="284"/>
        <w:spacing w:after="0" w:line="264" w:lineRule="auto"/>
        <w:rPr>
          <w:sz w:val="20"/>
          <w:szCs w:val="20"/>
          <w:color w:val="auto"/>
        </w:rPr>
      </w:pPr>
      <w:r>
        <w:rPr>
          <w:rFonts w:ascii="Times New Roman" w:cs="Times New Roman" w:eastAsia="Times New Roman" w:hAnsi="Times New Roman"/>
          <w:sz w:val="14"/>
          <w:szCs w:val="14"/>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3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PRC</w:t>
      </w:r>
    </w:p>
    <w:p>
      <w:pPr>
        <w:spacing w:after="0" w:line="129" w:lineRule="exact"/>
        <w:rPr>
          <w:sz w:val="20"/>
          <w:szCs w:val="20"/>
          <w:color w:val="auto"/>
        </w:rPr>
      </w:pPr>
    </w:p>
    <w:p>
      <w:pPr>
        <w:ind w:left="1260" w:right="1279" w:firstLine="284"/>
        <w:spacing w:after="0" w:line="261" w:lineRule="auto"/>
        <w:rPr>
          <w:sz w:val="20"/>
          <w:szCs w:val="20"/>
          <w:color w:val="auto"/>
        </w:rPr>
      </w:pPr>
      <w:r>
        <w:rPr>
          <w:rFonts w:ascii="Times New Roman" w:cs="Times New Roman" w:eastAsia="Times New Roman" w:hAnsi="Times New Roman"/>
          <w:sz w:val="14"/>
          <w:szCs w:val="14"/>
          <w:color w:val="auto"/>
        </w:rPr>
        <w:t>Fangda Partners, our counsel as to PRC law, has advised us that there is uncertainty as to whether the courts of the PRC would (i) recognize or enforce judgments of U.S. courts obtained against us or our directors or officers that are predicated upon the civil liability provisions of the federal securities laws of the United States or the securities laws of any state in the United States, and (ii) entertain original actions brought in the PRC against us or our directors or officers that are predicated upon the federal securities laws of the United States or the securities laws of any state in the United States.</w:t>
      </w:r>
    </w:p>
    <w:p>
      <w:pPr>
        <w:spacing w:after="0" w:line="80" w:lineRule="exact"/>
        <w:rPr>
          <w:sz w:val="20"/>
          <w:szCs w:val="20"/>
          <w:color w:val="auto"/>
        </w:rPr>
      </w:pPr>
    </w:p>
    <w:p>
      <w:pPr>
        <w:ind w:left="1260" w:right="1279" w:firstLine="284"/>
        <w:spacing w:after="0" w:line="256" w:lineRule="auto"/>
        <w:rPr>
          <w:sz w:val="20"/>
          <w:szCs w:val="20"/>
          <w:color w:val="auto"/>
        </w:rPr>
      </w:pPr>
      <w:r>
        <w:rPr>
          <w:rFonts w:ascii="Times New Roman" w:cs="Times New Roman" w:eastAsia="Times New Roman" w:hAnsi="Times New Roman"/>
          <w:sz w:val="14"/>
          <w:szCs w:val="14"/>
          <w:color w:val="auto"/>
        </w:rPr>
        <w:t>Fangda Partners has further advised us that the recognition and enforcement of foreign judgments are provided for under the PRC Civil Procedure Law. PRC courts may recognize and enforce foreign judgments in accordance with the requirements of the PRC Civil Procedure Law based either on treaties between China and the country where the judgment is made or on principles of reciprocity between jurisdictions. As of the date of this prospectus, there exists no treaty or other forms of reciprocity between China and the United States or the Cayman Islands governing the recognition and enforcement of foreign judgments, including those predicated upon the liability provisions of the U.S. federal securities laws. In addition, under the PRC Civil Procedures Law, PRC courts will not enforce a foreign judgment against us or our directors and officers if they decide that the judgement violates the basic legal principles or national sovereignty, safety or social public interest. As a result, it is uncertain whether and on what basis a PRC court would enforce a judgment rendered by a court in the United States or in the Cayman Islands. Under the PRC Civil Procedures Law, foreign shareholders may originate actions based on PRC law before a PRC court against a company for disputes relating to contracts or other property interests, and the PRC court may accept a cause of action based on the laws or the parties’ express mutual agreement in contracts choosing PRC courts for dispute resolution if such foreign shareholders can establish sufficient nexus to China for a PRC court to have jurisdiction and meet other procedural requirements, including, among others, that the plaintiff must have a direct interest in the case and that there must be a concrete claim, a factual basis, and a cause for the case. The PRC court will determine whether to accept the complaint in accordance with the PRC Civil Procedures Law. However, it will be difficult for U.S. shareholders to originate actions against us in China in accordance with PRC laws because we are incorporated under the laws of the Cayman Islands and it will be difficult for U.S. shareholders, by virtue only of holding our Class A ordinary shares or ADSs representing our Class A ordinary shares, to establish a connection to China for a PRC court to have jurisdiction as required under the PRC Civil Procedures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6" w:name="page27"/>
    <w:bookmarkEnd w:id="26"/>
    <w:p>
      <w:pPr>
        <w:ind w:left="2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TAXATION</w:t>
      </w:r>
    </w:p>
    <w:p>
      <w:pPr>
        <w:spacing w:after="0" w:line="129" w:lineRule="exact"/>
        <w:rPr>
          <w:sz w:val="20"/>
          <w:szCs w:val="20"/>
          <w:color w:val="auto"/>
        </w:rPr>
      </w:pPr>
    </w:p>
    <w:p>
      <w:pPr>
        <w:ind w:left="1260" w:right="1339" w:firstLine="284"/>
        <w:spacing w:after="0" w:line="272" w:lineRule="auto"/>
        <w:rPr>
          <w:sz w:val="20"/>
          <w:szCs w:val="20"/>
          <w:color w:val="auto"/>
        </w:rPr>
      </w:pPr>
      <w:r>
        <w:rPr>
          <w:rFonts w:ascii="Times New Roman" w:cs="Times New Roman" w:eastAsia="Times New Roman" w:hAnsi="Times New Roman"/>
          <w:sz w:val="14"/>
          <w:szCs w:val="14"/>
          <w:color w:val="auto"/>
        </w:rPr>
        <w:t>Certain income tax considerations relating to the purchase, ownership and disposition of any of the securities offered by this prospectus will be set forth in the applicable prospectus supplement relating to the offering of those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7" w:name="page28"/>
    <w:bookmarkEnd w:id="27"/>
    <w:p>
      <w:pPr>
        <w:ind w:left="2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SELLING SHAREHOLDERS</w:t>
      </w:r>
    </w:p>
    <w:p>
      <w:pPr>
        <w:spacing w:after="0" w:line="129" w:lineRule="exact"/>
        <w:rPr>
          <w:sz w:val="20"/>
          <w:szCs w:val="20"/>
          <w:color w:val="auto"/>
        </w:rPr>
      </w:pPr>
    </w:p>
    <w:p>
      <w:pPr>
        <w:ind w:left="1260" w:right="1299" w:firstLine="284"/>
        <w:spacing w:after="0" w:line="260" w:lineRule="auto"/>
        <w:rPr>
          <w:sz w:val="20"/>
          <w:szCs w:val="20"/>
          <w:color w:val="auto"/>
        </w:rPr>
      </w:pPr>
      <w:r>
        <w:rPr>
          <w:rFonts w:ascii="Times New Roman" w:cs="Times New Roman" w:eastAsia="Times New Roman" w:hAnsi="Times New Roman"/>
          <w:sz w:val="14"/>
          <w:szCs w:val="14"/>
          <w:color w:val="auto"/>
        </w:rPr>
        <w:t>Selling shareholders (if any) to be named in a prospectus supplement may, from time to time, offer and sell Class A ordinary shares or ADSs of our company held by them pursuant to this prospectus and the applicable prospectus supplement. Such selling shareholders may sell Class A ordinary shares or ADSs to or through underwriters, dealers or agents or directly to purchasers or as otherwise set forth in the applicable prospectus supplement. See “Plan of Distribution.” Such selling shareholders may also sell, transfer or otherwise dispose of Class A ordinary shares or ADSs in transactions exempt from the registration requirements of the Securities Act.</w:t>
      </w:r>
    </w:p>
    <w:p>
      <w:pPr>
        <w:spacing w:after="0" w:line="266" w:lineRule="exact"/>
        <w:rPr>
          <w:sz w:val="20"/>
          <w:szCs w:val="20"/>
          <w:color w:val="auto"/>
        </w:rPr>
      </w:pPr>
    </w:p>
    <w:p>
      <w:pPr>
        <w:ind w:left="1260" w:right="1299" w:firstLine="284"/>
        <w:spacing w:after="0" w:line="261" w:lineRule="auto"/>
        <w:rPr>
          <w:sz w:val="20"/>
          <w:szCs w:val="20"/>
          <w:color w:val="auto"/>
        </w:rPr>
      </w:pPr>
      <w:r>
        <w:rPr>
          <w:rFonts w:ascii="Times New Roman" w:cs="Times New Roman" w:eastAsia="Times New Roman" w:hAnsi="Times New Roman"/>
          <w:sz w:val="14"/>
          <w:szCs w:val="14"/>
          <w:color w:val="auto"/>
        </w:rPr>
        <w:t>If any selling shareholder is to offer and sell Class A ordinary shares or ADSs pursuant to this prospectus, we will provide you with a prospectus supplement that sets forth the name of each such selling shareholder and the number of Class A ordinary shares or ADSs beneficially owned by each such selling shareholder. The prospectus supplement also will disclose whether any of the selling shareholders have held any position or office with, have been employed by, or otherwise have had a material relationship with us during the three years prior to the date of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8" w:name="page29"/>
    <w:bookmarkEnd w:id="28"/>
    <w:p>
      <w:pPr>
        <w:ind w:left="2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9" w:lineRule="exact"/>
        <w:rPr>
          <w:sz w:val="20"/>
          <w:szCs w:val="20"/>
          <w:color w:val="auto"/>
        </w:rPr>
      </w:pPr>
    </w:p>
    <w:p>
      <w:pPr>
        <w:ind w:left="1260" w:right="1459" w:firstLine="284"/>
        <w:spacing w:after="0" w:line="289" w:lineRule="auto"/>
        <w:rPr>
          <w:sz w:val="20"/>
          <w:szCs w:val="20"/>
          <w:color w:val="auto"/>
        </w:rPr>
      </w:pPr>
      <w:r>
        <w:rPr>
          <w:rFonts w:ascii="Times New Roman" w:cs="Times New Roman" w:eastAsia="Times New Roman" w:hAnsi="Times New Roman"/>
          <w:sz w:val="14"/>
          <w:szCs w:val="14"/>
          <w:color w:val="auto"/>
        </w:rPr>
        <w:t>We or the selling shareholders named in the applicable prospectus supplement may sell the securities described in this prospectus from time to time in one or more transactions, including without limitation:</w:t>
      </w:r>
    </w:p>
    <w:p>
      <w:pPr>
        <w:spacing w:after="0" w:line="39" w:lineRule="exact"/>
        <w:rPr>
          <w:sz w:val="20"/>
          <w:szCs w:val="20"/>
          <w:color w:val="auto"/>
        </w:rPr>
      </w:pPr>
    </w:p>
    <w:p>
      <w:pPr>
        <w:ind w:left="1680" w:right="1579" w:hanging="135"/>
        <w:spacing w:after="0" w:line="289" w:lineRule="auto"/>
        <w:tabs>
          <w:tab w:leader="none" w:pos="16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any national securities exchange or quotation service on which the securities may be listed or quoted at the time of sale;</w:t>
      </w:r>
    </w:p>
    <w:p>
      <w:pPr>
        <w:spacing w:after="0" w:line="39"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over-the-counter market;</w:t>
      </w:r>
    </w:p>
    <w:p>
      <w:pPr>
        <w:spacing w:after="0" w:line="95"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95" w:lineRule="exact"/>
        <w:rPr>
          <w:rFonts w:ascii="Times New Roman" w:cs="Times New Roman" w:eastAsia="Times New Roman" w:hAnsi="Times New Roman"/>
          <w:sz w:val="14"/>
          <w:szCs w:val="14"/>
          <w:color w:val="auto"/>
        </w:rPr>
      </w:pPr>
    </w:p>
    <w:p>
      <w:pPr>
        <w:ind w:left="1680" w:right="1439" w:hanging="135"/>
        <w:spacing w:after="0" w:line="272" w:lineRule="auto"/>
        <w:tabs>
          <w:tab w:leader="none" w:pos="16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Class A ordinary shares (or ADSs representing such shares) as agent but may position and resell a portion of the block as principal to facilitate the transaction;</w:t>
      </w:r>
    </w:p>
    <w:p>
      <w:pPr>
        <w:spacing w:after="0" w:line="50"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brokers, dealers or underwriters that may act solely as agents;</w:t>
      </w:r>
    </w:p>
    <w:p>
      <w:pPr>
        <w:spacing w:after="0" w:line="95"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95"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95"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95"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w:t>
      </w:r>
    </w:p>
    <w:p>
      <w:pPr>
        <w:spacing w:after="0" w:line="95" w:lineRule="exact"/>
        <w:rPr>
          <w:rFonts w:ascii="Times New Roman" w:cs="Times New Roman" w:eastAsia="Times New Roman" w:hAnsi="Times New Roman"/>
          <w:sz w:val="14"/>
          <w:szCs w:val="14"/>
          <w:color w:val="auto"/>
        </w:rPr>
      </w:pPr>
    </w:p>
    <w:p>
      <w:pPr>
        <w:ind w:left="1680" w:right="1579" w:hanging="135"/>
        <w:spacing w:after="0" w:line="272" w:lineRule="auto"/>
        <w:tabs>
          <w:tab w:leader="none" w:pos="16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entered into after the effective date of the registration statement of which this prospectus is a part, whether through an options exchange or otherwise;</w:t>
      </w:r>
    </w:p>
    <w:p>
      <w:pPr>
        <w:spacing w:after="0" w:line="50" w:lineRule="exact"/>
        <w:rPr>
          <w:rFonts w:ascii="Times New Roman" w:cs="Times New Roman" w:eastAsia="Times New Roman" w:hAnsi="Times New Roman"/>
          <w:sz w:val="14"/>
          <w:szCs w:val="14"/>
          <w:color w:val="auto"/>
        </w:rPr>
      </w:pPr>
    </w:p>
    <w:p>
      <w:pPr>
        <w:ind w:left="1680" w:right="1299" w:hanging="135"/>
        <w:spacing w:after="0" w:line="289" w:lineRule="auto"/>
        <w:tabs>
          <w:tab w:leader="none" w:pos="16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with the selling shareholders to sell a specified number of Class A ordinary shares (or ADSs representing such shares) or interests in such shares at a stipulated price per share;</w:t>
      </w:r>
    </w:p>
    <w:p>
      <w:pPr>
        <w:spacing w:after="0" w:line="39"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disposition; and</w:t>
      </w:r>
    </w:p>
    <w:p>
      <w:pPr>
        <w:spacing w:after="0" w:line="95"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27" w:lineRule="exact"/>
        <w:rPr>
          <w:sz w:val="20"/>
          <w:szCs w:val="20"/>
          <w:color w:val="auto"/>
        </w:rPr>
      </w:pPr>
    </w:p>
    <w:p>
      <w:pPr>
        <w:ind w:left="1260" w:right="1299" w:firstLine="284"/>
        <w:spacing w:after="0" w:line="258" w:lineRule="auto"/>
        <w:rPr>
          <w:sz w:val="20"/>
          <w:szCs w:val="20"/>
          <w:color w:val="auto"/>
        </w:rPr>
      </w:pPr>
      <w:r>
        <w:rPr>
          <w:rFonts w:ascii="Times New Roman" w:cs="Times New Roman" w:eastAsia="Times New Roman" w:hAnsi="Times New Roman"/>
          <w:sz w:val="14"/>
          <w:szCs w:val="14"/>
          <w:color w:val="auto"/>
        </w:rPr>
        <w:t>In addition, we or the selling shareholders named in the applicable prospectus supplement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the applicable prospectus supplement. If so, the third party may use securities borrowed from us or others to settle such sales and may use securities received from us to close out any related short positions. We or the selling shareholders named in the applicable prospectus supplement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256" w:lineRule="exact"/>
        <w:rPr>
          <w:sz w:val="20"/>
          <w:szCs w:val="20"/>
          <w:color w:val="auto"/>
        </w:rPr>
      </w:pPr>
    </w:p>
    <w:p>
      <w:pPr>
        <w:ind w:left="1260" w:right="1319" w:firstLine="284"/>
        <w:spacing w:after="0" w:line="272" w:lineRule="auto"/>
        <w:rPr>
          <w:sz w:val="20"/>
          <w:szCs w:val="20"/>
          <w:color w:val="auto"/>
        </w:rPr>
      </w:pPr>
      <w:r>
        <w:rPr>
          <w:rFonts w:ascii="Times New Roman" w:cs="Times New Roman" w:eastAsia="Times New Roman" w:hAnsi="Times New Roman"/>
          <w:sz w:val="14"/>
          <w:szCs w:val="14"/>
          <w:color w:val="auto"/>
        </w:rPr>
        <w:t>The selling shareholders also may transfer the Class A ordinary shares (or ADSs representing such shares) in other circumstances, in which case the transferees, pledgees or other successors in interest will be the selling beneficial owners for purposes of this prospectus.</w:t>
      </w:r>
    </w:p>
    <w:p>
      <w:pPr>
        <w:spacing w:after="0" w:line="82" w:lineRule="exact"/>
        <w:rPr>
          <w:sz w:val="20"/>
          <w:szCs w:val="20"/>
          <w:color w:val="auto"/>
        </w:rPr>
      </w:pPr>
    </w:p>
    <w:p>
      <w:pPr>
        <w:ind w:left="1260" w:right="1479" w:firstLine="284"/>
        <w:spacing w:after="0" w:line="263" w:lineRule="auto"/>
        <w:rPr>
          <w:sz w:val="20"/>
          <w:szCs w:val="20"/>
          <w:color w:val="auto"/>
        </w:rPr>
      </w:pPr>
      <w:r>
        <w:rPr>
          <w:rFonts w:ascii="Times New Roman" w:cs="Times New Roman" w:eastAsia="Times New Roman" w:hAnsi="Times New Roman"/>
          <w:sz w:val="14"/>
          <w:szCs w:val="14"/>
          <w:color w:val="auto"/>
        </w:rPr>
        <w:t>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89" w:lineRule="exact"/>
        <w:rPr>
          <w:sz w:val="20"/>
          <w:szCs w:val="20"/>
          <w:color w:val="auto"/>
        </w:rPr>
      </w:pPr>
    </w:p>
    <w:p>
      <w:pPr>
        <w:ind w:left="1260" w:right="1459" w:firstLine="284"/>
        <w:spacing w:after="0" w:line="289" w:lineRule="auto"/>
        <w:rPr>
          <w:sz w:val="20"/>
          <w:szCs w:val="20"/>
          <w:color w:val="auto"/>
        </w:rPr>
      </w:pPr>
      <w:r>
        <w:rPr>
          <w:rFonts w:ascii="Times New Roman" w:cs="Times New Roman" w:eastAsia="Times New Roman" w:hAnsi="Times New Roman"/>
          <w:sz w:val="14"/>
          <w:szCs w:val="14"/>
          <w:color w:val="auto"/>
        </w:rPr>
        <w:t>We or the selling shareholders named in the applicable prospectus supplement may sell the securities offered by this prospectus at:</w:t>
      </w:r>
    </w:p>
    <w:p>
      <w:pPr>
        <w:spacing w:after="0" w:line="39" w:lineRule="exact"/>
        <w:rPr>
          <w:sz w:val="20"/>
          <w:szCs w:val="20"/>
          <w:color w:val="auto"/>
        </w:rPr>
      </w:pPr>
    </w:p>
    <w:p>
      <w:pPr>
        <w:ind w:left="1680" w:hanging="135"/>
        <w:spacing w:after="0"/>
        <w:tabs>
          <w:tab w:leader="none" w:pos="1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fixed price or prices, which may be changed;</w:t>
      </w:r>
    </w:p>
    <w:p>
      <w:pPr>
        <w:spacing w:after="0" w:line="95"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prices prevailing at the time of sale;</w:t>
      </w: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 w:name="page30"/>
    <w:bookmarkEnd w:id="29"/>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80" w:hanging="135"/>
        <w:spacing w:after="0"/>
        <w:tabs>
          <w:tab w:leader="none" w:pos="16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prices related to such prevailing market prices; or</w:t>
      </w:r>
    </w:p>
    <w:p>
      <w:pPr>
        <w:spacing w:after="0" w:line="84"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negotiated prices.</w:t>
      </w:r>
    </w:p>
    <w:p>
      <w:pPr>
        <w:spacing w:after="0" w:line="127" w:lineRule="exact"/>
        <w:rPr>
          <w:sz w:val="20"/>
          <w:szCs w:val="20"/>
          <w:color w:val="auto"/>
        </w:rPr>
      </w:pPr>
    </w:p>
    <w:p>
      <w:pPr>
        <w:ind w:left="1260" w:right="1319" w:firstLine="284"/>
        <w:spacing w:after="0" w:line="245" w:lineRule="auto"/>
        <w:rPr>
          <w:sz w:val="20"/>
          <w:szCs w:val="20"/>
          <w:color w:val="auto"/>
        </w:rPr>
      </w:pPr>
      <w:r>
        <w:rPr>
          <w:rFonts w:ascii="Times New Roman" w:cs="Times New Roman" w:eastAsia="Times New Roman" w:hAnsi="Times New Roman"/>
          <w:sz w:val="14"/>
          <w:szCs w:val="14"/>
          <w:color w:val="auto"/>
        </w:rPr>
        <w:t>We or the selling shareholders named in the applicable prospectus supplement may solicit offers to purchase the securities directly from the public from time to time. We or the selling shareholders named in the applicable prospectus supplement may also designate agents from time to time to solicit offers to purchase securities from the public on our or their behalf. The prospectus supplement relating to any particular offering of securities will name any agents designated to solicit offers, and will include information about any commissions to be paid to the agents, in that offering. Agents may be deemed to be “underwriters” as that term is defined in the Securities Act. From time to time, we or the selling shareholders named in the applicable prospectus supplement may sell securities to one or more dealers as principals. The dealers, who may be deemed to be “underwriters” as that term is defined in the Securities Act, may then resell those securities to the public. We or the selling shareholders named in the applicable prospectus supplement may sell securities from time to time to one or more underwriters, who would purchase the securities as principal for resale to the public, either on a firm-commitment or best-efforts basis. If we or the selling shareholders named in the applicable prospectus supplement sell securities to underwriters, we or the selling shareholders named in the applicable prospectus supplement will execute an underwriting agreement with them at the time of sale and will name them in the applicable prospectus supplement. In connection with those sales, underwriters may be deemed to have received compensation from us or the selling shareholders named in the applicable prospectus supplement in the form of underwriting discounts or commissions and 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Underwriters, dealers, agents and other persons may be entitled, under agreements that they may enter into with us or the selling shareholders named in the applicable prospectus supplement, to indemnification by us or the selling shareholders named in the applicable prospectus supplement against civil liabilities, including liabilities under the Securities Act, or to contribution with respect to payments which they may be required to make.</w:t>
      </w:r>
    </w:p>
    <w:p>
      <w:pPr>
        <w:spacing w:after="0" w:line="259" w:lineRule="exact"/>
        <w:rPr>
          <w:sz w:val="20"/>
          <w:szCs w:val="20"/>
          <w:color w:val="auto"/>
        </w:rPr>
      </w:pPr>
    </w:p>
    <w:p>
      <w:pPr>
        <w:ind w:left="1260" w:right="1279" w:firstLine="284"/>
        <w:spacing w:after="0" w:line="273" w:lineRule="auto"/>
        <w:rPr>
          <w:sz w:val="20"/>
          <w:szCs w:val="20"/>
          <w:color w:val="auto"/>
        </w:rPr>
      </w:pPr>
      <w:r>
        <w:rPr>
          <w:rFonts w:ascii="Times New Roman" w:cs="Times New Roman" w:eastAsia="Times New Roman" w:hAnsi="Times New Roman"/>
          <w:sz w:val="14"/>
          <w:szCs w:val="14"/>
          <w:color w:val="auto"/>
        </w:rPr>
        <w:t>The applicable prospectus supplement will describe the terms of the offering of the securities, including the following:</w:t>
      </w:r>
    </w:p>
    <w:p>
      <w:pPr>
        <w:spacing w:after="0" w:line="39" w:lineRule="exact"/>
        <w:rPr>
          <w:sz w:val="20"/>
          <w:szCs w:val="20"/>
          <w:color w:val="auto"/>
        </w:rPr>
      </w:pPr>
    </w:p>
    <w:p>
      <w:pPr>
        <w:ind w:left="1680" w:hanging="135"/>
        <w:spacing w:after="0"/>
        <w:tabs>
          <w:tab w:leader="none" w:pos="16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agent or any underwriters;</w:t>
      </w:r>
    </w:p>
    <w:p>
      <w:pPr>
        <w:spacing w:after="0" w:line="84"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or purchase price;</w:t>
      </w:r>
    </w:p>
    <w:p>
      <w:pPr>
        <w:spacing w:after="0" w:line="73"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paid to the agent or underwriters;</w:t>
      </w:r>
    </w:p>
    <w:p>
      <w:pPr>
        <w:spacing w:after="0" w:line="84"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items constituting underwriting compensation;</w:t>
      </w:r>
    </w:p>
    <w:p>
      <w:pPr>
        <w:spacing w:after="0" w:line="84"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paid to dealers; and</w:t>
      </w:r>
    </w:p>
    <w:p>
      <w:pPr>
        <w:spacing w:after="0" w:line="73" w:lineRule="exact"/>
        <w:rPr>
          <w:rFonts w:ascii="Times New Roman" w:cs="Times New Roman" w:eastAsia="Times New Roman" w:hAnsi="Times New Roman"/>
          <w:sz w:val="14"/>
          <w:szCs w:val="14"/>
          <w:color w:val="auto"/>
        </w:rPr>
      </w:pPr>
    </w:p>
    <w:p>
      <w:pPr>
        <w:ind w:left="1680" w:hanging="135"/>
        <w:spacing w:after="0"/>
        <w:tabs>
          <w:tab w:leader="none" w:pos="16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exchanges on which the securities will be listed.</w:t>
      </w:r>
    </w:p>
    <w:p>
      <w:pPr>
        <w:spacing w:after="0" w:line="127" w:lineRule="exact"/>
        <w:rPr>
          <w:sz w:val="20"/>
          <w:szCs w:val="20"/>
          <w:color w:val="auto"/>
        </w:rPr>
      </w:pPr>
    </w:p>
    <w:p>
      <w:pPr>
        <w:ind w:left="1260" w:right="1279" w:firstLine="284"/>
        <w:spacing w:after="0" w:line="251" w:lineRule="auto"/>
        <w:rPr>
          <w:sz w:val="20"/>
          <w:szCs w:val="20"/>
          <w:color w:val="auto"/>
        </w:rPr>
      </w:pPr>
      <w:r>
        <w:rPr>
          <w:rFonts w:ascii="Times New Roman" w:cs="Times New Roman" w:eastAsia="Times New Roman" w:hAnsi="Times New Roman"/>
          <w:sz w:val="14"/>
          <w:szCs w:val="14"/>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86" w:lineRule="exact"/>
        <w:rPr>
          <w:sz w:val="20"/>
          <w:szCs w:val="20"/>
          <w:color w:val="auto"/>
        </w:rPr>
      </w:pPr>
    </w:p>
    <w:p>
      <w:pPr>
        <w:ind w:left="1260" w:right="1899" w:firstLine="284"/>
        <w:spacing w:after="0" w:line="273" w:lineRule="auto"/>
        <w:rPr>
          <w:sz w:val="20"/>
          <w:szCs w:val="20"/>
          <w:color w:val="auto"/>
        </w:rPr>
      </w:pPr>
      <w:r>
        <w:rPr>
          <w:rFonts w:ascii="Times New Roman" w:cs="Times New Roman" w:eastAsia="Times New Roman" w:hAnsi="Times New Roman"/>
          <w:sz w:val="14"/>
          <w:szCs w:val="14"/>
          <w:color w:val="auto"/>
        </w:rPr>
        <w:t>We may pay expenses incurred with respect to the registration of shares owned by any selling shareholders.</w:t>
      </w:r>
    </w:p>
    <w:p>
      <w:pPr>
        <w:spacing w:after="0" w:line="71" w:lineRule="exact"/>
        <w:rPr>
          <w:sz w:val="20"/>
          <w:szCs w:val="20"/>
          <w:color w:val="auto"/>
        </w:rPr>
      </w:pPr>
    </w:p>
    <w:p>
      <w:pPr>
        <w:ind w:left="1260" w:right="1299" w:firstLine="284"/>
        <w:spacing w:after="0" w:line="249" w:lineRule="auto"/>
        <w:rPr>
          <w:sz w:val="20"/>
          <w:szCs w:val="20"/>
          <w:color w:val="auto"/>
        </w:rPr>
      </w:pPr>
      <w:r>
        <w:rPr>
          <w:rFonts w:ascii="Times New Roman" w:cs="Times New Roman" w:eastAsia="Times New Roman" w:hAnsi="Times New Roman"/>
          <w:sz w:val="14"/>
          <w:szCs w:val="14"/>
          <w:color w:val="auto"/>
        </w:rPr>
        <w:t>The underwriters, dealers and agents, as well as their associates, may be customers of or lenders to, and may engage in transactions with and perform services for us. In addition, we may offer securities to or through our affiliates, as underwriters, dealers or agents. Our affiliates may also offer the securities in other markets through one or more selling agents, including one another. If so indicated in an applicable prospectus supplement, we will authorize dealers or other persons acting as our agent to solicit offers by some institutions to purchase securities from us pursuant to contracts providing for payment and delivery on a future date. Institutions with which these contracts may be made include commercial and savings banks, insurance companies, pension funds, investment companies, educational and charitable institutions and others.</w:t>
      </w: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0" w:name="page31"/>
    <w:bookmarkEnd w:id="30"/>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60" w:right="1299" w:firstLine="284"/>
        <w:spacing w:after="0" w:line="257" w:lineRule="auto"/>
        <w:rPr>
          <w:sz w:val="20"/>
          <w:szCs w:val="20"/>
          <w:color w:val="auto"/>
        </w:rPr>
      </w:pPr>
      <w:r>
        <w:rPr>
          <w:rFonts w:ascii="Times New Roman" w:cs="Times New Roman" w:eastAsia="Times New Roman" w:hAnsi="Times New Roman"/>
          <w:sz w:val="14"/>
          <w:szCs w:val="14"/>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270" w:lineRule="exact"/>
        <w:rPr>
          <w:sz w:val="20"/>
          <w:szCs w:val="20"/>
          <w:color w:val="auto"/>
        </w:rPr>
      </w:pPr>
    </w:p>
    <w:p>
      <w:pPr>
        <w:ind w:left="1260" w:right="1299" w:firstLine="284"/>
        <w:spacing w:after="0" w:line="289" w:lineRule="auto"/>
        <w:rPr>
          <w:sz w:val="20"/>
          <w:szCs w:val="20"/>
          <w:color w:val="auto"/>
        </w:rPr>
      </w:pPr>
      <w:r>
        <w:rPr>
          <w:rFonts w:ascii="Times New Roman" w:cs="Times New Roman" w:eastAsia="Times New Roman" w:hAnsi="Times New Roman"/>
          <w:sz w:val="14"/>
          <w:szCs w:val="14"/>
          <w:color w:val="auto"/>
        </w:rPr>
        <w:t>Unless otherwise indicated in an applicable prospectus supplement or confirmation of sale, the purchase price of the securities will be required to be paid in immediately available funds in New York City.</w:t>
      </w:r>
    </w:p>
    <w:p>
      <w:pPr>
        <w:spacing w:after="0" w:line="71" w:lineRule="exact"/>
        <w:rPr>
          <w:sz w:val="20"/>
          <w:szCs w:val="20"/>
          <w:color w:val="auto"/>
        </w:rPr>
      </w:pPr>
    </w:p>
    <w:p>
      <w:pPr>
        <w:ind w:left="1260" w:right="1459" w:firstLine="284"/>
        <w:spacing w:after="0" w:line="272" w:lineRule="auto"/>
        <w:rPr>
          <w:sz w:val="20"/>
          <w:szCs w:val="20"/>
          <w:color w:val="auto"/>
        </w:rPr>
      </w:pPr>
      <w:r>
        <w:rPr>
          <w:rFonts w:ascii="Times New Roman" w:cs="Times New Roman" w:eastAsia="Times New Roman" w:hAnsi="Times New Roman"/>
          <w:sz w:val="14"/>
          <w:szCs w:val="14"/>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1" w:name="page32"/>
    <w:bookmarkEnd w:id="31"/>
    <w:p>
      <w:pPr>
        <w:ind w:left="2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9" w:lineRule="exact"/>
        <w:rPr>
          <w:sz w:val="20"/>
          <w:szCs w:val="20"/>
          <w:color w:val="auto"/>
        </w:rPr>
      </w:pPr>
    </w:p>
    <w:p>
      <w:pPr>
        <w:ind w:left="1260" w:right="1339" w:firstLine="284"/>
        <w:spacing w:after="0" w:line="261" w:lineRule="auto"/>
        <w:rPr>
          <w:sz w:val="20"/>
          <w:szCs w:val="20"/>
          <w:color w:val="auto"/>
        </w:rPr>
      </w:pPr>
      <w:r>
        <w:rPr>
          <w:rFonts w:ascii="Times New Roman" w:cs="Times New Roman" w:eastAsia="Times New Roman" w:hAnsi="Times New Roman"/>
          <w:sz w:val="14"/>
          <w:szCs w:val="14"/>
          <w:color w:val="auto"/>
        </w:rPr>
        <w:t>We are being represented by Davis Polk &amp; Wardwell LLP with respect to certain legal matters of U.S. federal securities and New York State law. The validity of our Class A ordinary shares and certain other matters of Cayman Islands law will be passed upon for us by Maples and Calder (Hong Kong) LLP. Certain legal matters as to PRC law will be passed upon for us by Fangda Partners. Davis Polk &amp; Wardwell LLP may rely upon Maples and Calder (Hong Kong) LLP with respect to matters governed by Cayman Islands law and Fangda Partners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2" w:name="page33"/>
    <w:bookmarkEnd w:id="32"/>
    <w:p>
      <w:pPr>
        <w:ind w:left="2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9" w:lineRule="exact"/>
        <w:rPr>
          <w:sz w:val="20"/>
          <w:szCs w:val="20"/>
          <w:color w:val="auto"/>
        </w:rPr>
      </w:pPr>
    </w:p>
    <w:p>
      <w:pPr>
        <w:ind w:left="1260" w:right="1319" w:firstLine="284"/>
        <w:spacing w:after="0" w:line="264" w:lineRule="auto"/>
        <w:rPr>
          <w:sz w:val="20"/>
          <w:szCs w:val="20"/>
          <w:color w:val="auto"/>
        </w:rPr>
      </w:pPr>
      <w:r>
        <w:rPr>
          <w:rFonts w:ascii="Times New Roman" w:cs="Times New Roman" w:eastAsia="Times New Roman" w:hAnsi="Times New Roman"/>
          <w:sz w:val="14"/>
          <w:szCs w:val="14"/>
          <w:color w:val="auto"/>
        </w:rPr>
        <w:t>The consolidated financial statements of Chagee Holdings Limited as of December 31, 2024 and 2025 and for each of the years in the three year period ended December 31, 2025 have been incorporated by reference herein in reliance on the report of KPMG Huazhen LLP, independent registered public accounting firm, incorporated by reference herein, and upon the authority of said firm as experts in auditing and accounting.</w:t>
      </w:r>
    </w:p>
    <w:p>
      <w:pPr>
        <w:spacing w:after="0" w:line="263" w:lineRule="exact"/>
        <w:rPr>
          <w:sz w:val="20"/>
          <w:szCs w:val="20"/>
          <w:color w:val="auto"/>
        </w:rPr>
      </w:pPr>
    </w:p>
    <w:p>
      <w:pPr>
        <w:ind w:left="1260" w:right="1439" w:firstLine="284"/>
        <w:spacing w:after="0" w:line="289" w:lineRule="auto"/>
        <w:rPr>
          <w:sz w:val="20"/>
          <w:szCs w:val="20"/>
          <w:color w:val="auto"/>
        </w:rPr>
      </w:pPr>
      <w:r>
        <w:rPr>
          <w:rFonts w:ascii="Times New Roman" w:cs="Times New Roman" w:eastAsia="Times New Roman" w:hAnsi="Times New Roman"/>
          <w:sz w:val="14"/>
          <w:szCs w:val="14"/>
          <w:color w:val="auto"/>
        </w:rPr>
        <w:t>The registered business address of KPMG Huazhen LLP is 8th Floor, KPMG Tower, Oriental Plaza 1 East Chang An Avenue, Beijing 100738,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3" w:name="page34"/>
    <w:bookmarkEnd w:id="33"/>
    <w:p>
      <w:pPr>
        <w:ind w:left="2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9" w:lineRule="exact"/>
        <w:rPr>
          <w:sz w:val="20"/>
          <w:szCs w:val="20"/>
          <w:color w:val="auto"/>
        </w:rPr>
      </w:pPr>
    </w:p>
    <w:p>
      <w:pPr>
        <w:ind w:left="1260" w:right="1279" w:firstLine="284"/>
        <w:spacing w:after="0" w:line="259" w:lineRule="auto"/>
        <w:rPr>
          <w:sz w:val="20"/>
          <w:szCs w:val="20"/>
          <w:color w:val="auto"/>
        </w:rPr>
      </w:pPr>
      <w:r>
        <w:rPr>
          <w:rFonts w:ascii="Times New Roman" w:cs="Times New Roman" w:eastAsia="Times New Roman" w:hAnsi="Times New Roman"/>
          <w:sz w:val="14"/>
          <w:szCs w:val="14"/>
          <w:color w:val="auto"/>
        </w:rPr>
        <w:t>We are subject to the reporting requirements of the Exchange Act that are applicable to a foreign private issuer. Under the Exchange Act, we file annual reports on Form 20-F and other information with the SEC. We also furnish to the SEC under cover of Form 6-K material information required to be made public in our home country, filed with and made public by any stock exchange on which we are listed or distributed by us to our shareholders. As a foreign private issuer, we are exempt from, among other things, the rules under the Exchange Act prescribing the furnishing and content of proxy statements and our officers, directors and principal shareholders are exempt from the reporting and short-swing profit recovery provisions contained in Section 16 of the Exchange Act.</w:t>
      </w:r>
    </w:p>
    <w:p>
      <w:pPr>
        <w:spacing w:after="0" w:line="267" w:lineRule="exact"/>
        <w:rPr>
          <w:sz w:val="20"/>
          <w:szCs w:val="20"/>
          <w:color w:val="auto"/>
        </w:rPr>
      </w:pPr>
    </w:p>
    <w:p>
      <w:pPr>
        <w:ind w:left="1260" w:right="1339" w:firstLine="284"/>
        <w:spacing w:after="0" w:line="289" w:lineRule="auto"/>
        <w:rPr>
          <w:sz w:val="20"/>
          <w:szCs w:val="20"/>
          <w:color w:val="auto"/>
        </w:rPr>
      </w:pPr>
      <w:r>
        <w:rPr>
          <w:rFonts w:ascii="Times New Roman" w:cs="Times New Roman" w:eastAsia="Times New Roman" w:hAnsi="Times New Roman"/>
          <w:sz w:val="14"/>
          <w:szCs w:val="14"/>
          <w:color w:val="auto"/>
        </w:rPr>
        <w:t>The SEC maintains a web site that contains reports and information statements and other information about issuers, such as us, who file electronically with the SEC. The address of that website is www.sec.gov.</w:t>
      </w:r>
    </w:p>
    <w:p>
      <w:pPr>
        <w:spacing w:after="0" w:line="60" w:lineRule="exact"/>
        <w:rPr>
          <w:sz w:val="20"/>
          <w:szCs w:val="20"/>
          <w:color w:val="auto"/>
        </w:rPr>
      </w:pPr>
    </w:p>
    <w:p>
      <w:pPr>
        <w:ind w:left="1260" w:right="1279" w:firstLine="284"/>
        <w:spacing w:after="0" w:line="259" w:lineRule="auto"/>
        <w:rPr>
          <w:sz w:val="20"/>
          <w:szCs w:val="20"/>
          <w:color w:val="auto"/>
        </w:rPr>
      </w:pPr>
      <w:r>
        <w:rPr>
          <w:rFonts w:ascii="Times New Roman" w:cs="Times New Roman" w:eastAsia="Times New Roman" w:hAnsi="Times New Roman"/>
          <w:sz w:val="14"/>
          <w:szCs w:val="14"/>
          <w:color w:val="auto"/>
        </w:rPr>
        <w:t>This prospectus and any prospectus supplement are part of a registration statement on Form F-3 that we filed with the SEC and do not contain all of the information in the registration statement. The full registration statement may be obtained from the SEC or us, as provided below. Forms of the documents establishing the terms of the offered securities are or may be filed as exhibits to the registration statement of which this prospectus forms a part.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91" w:lineRule="exact"/>
        <w:rPr>
          <w:sz w:val="20"/>
          <w:szCs w:val="20"/>
          <w:color w:val="auto"/>
        </w:rPr>
      </w:pPr>
    </w:p>
    <w:p>
      <w:pPr>
        <w:ind w:left="1260" w:right="1659" w:firstLine="284"/>
        <w:spacing w:after="0" w:line="292" w:lineRule="auto"/>
        <w:rPr>
          <w:sz w:val="20"/>
          <w:szCs w:val="20"/>
          <w:color w:val="auto"/>
        </w:rPr>
      </w:pPr>
      <w:r>
        <w:rPr>
          <w:rFonts w:ascii="Times New Roman" w:cs="Times New Roman" w:eastAsia="Times New Roman" w:hAnsi="Times New Roman"/>
          <w:sz w:val="14"/>
          <w:szCs w:val="14"/>
          <w:color w:val="auto"/>
        </w:rPr>
        <w:t xml:space="preserve">We also maintain a website at </w:t>
      </w:r>
      <w:r>
        <w:rPr>
          <w:rFonts w:ascii="Times New Roman" w:cs="Times New Roman" w:eastAsia="Times New Roman" w:hAnsi="Times New Roman"/>
          <w:sz w:val="14"/>
          <w:szCs w:val="14"/>
          <w:i w:val="1"/>
          <w:iCs w:val="1"/>
          <w:color w:val="auto"/>
        </w:rPr>
        <w:t>https://investor.chagee.com</w:t>
      </w:r>
      <w:r>
        <w:rPr>
          <w:rFonts w:ascii="Times New Roman" w:cs="Times New Roman" w:eastAsia="Times New Roman" w:hAnsi="Times New Roman"/>
          <w:sz w:val="14"/>
          <w:szCs w:val="14"/>
          <w:color w:val="auto"/>
        </w:rPr>
        <w:t xml:space="preserve"> through which you can access our SEC filings. The information set forth on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4" w:name="page35"/>
    <w:bookmarkEnd w:id="34"/>
    <w:p>
      <w:pPr>
        <w:ind w:left="2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DOCUMENTS BY REFERENCE</w:t>
      </w:r>
    </w:p>
    <w:p>
      <w:pPr>
        <w:spacing w:after="0" w:line="129" w:lineRule="exact"/>
        <w:rPr>
          <w:sz w:val="20"/>
          <w:szCs w:val="20"/>
          <w:color w:val="auto"/>
        </w:rPr>
      </w:pPr>
    </w:p>
    <w:p>
      <w:pPr>
        <w:ind w:left="1260" w:right="1279" w:firstLine="284"/>
        <w:spacing w:after="0" w:line="246"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9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The documents we are incorporating by reference are:</w:t>
      </w:r>
    </w:p>
    <w:p>
      <w:pPr>
        <w:spacing w:after="0" w:line="95" w:lineRule="exact"/>
        <w:rPr>
          <w:sz w:val="20"/>
          <w:szCs w:val="20"/>
          <w:color w:val="auto"/>
        </w:rPr>
      </w:pPr>
    </w:p>
    <w:p>
      <w:pPr>
        <w:ind w:left="1680" w:right="1759" w:hanging="135"/>
        <w:spacing w:after="0" w:line="289" w:lineRule="auto"/>
        <w:tabs>
          <w:tab w:leader="none" w:pos="1680" w:val="left"/>
        </w:tabs>
        <w:numPr>
          <w:ilvl w:val="0"/>
          <w:numId w:val="27"/>
        </w:numPr>
        <w:rPr>
          <w:rFonts w:ascii="Times New Roman" w:cs="Times New Roman" w:eastAsia="Times New Roman" w:hAnsi="Times New Roman"/>
          <w:sz w:val="14"/>
          <w:szCs w:val="14"/>
          <w:u w:val="single" w:color="auto"/>
          <w:color w:val="0000EE"/>
        </w:rPr>
      </w:pPr>
      <w:hyperlink r:id="rId37">
        <w:r>
          <w:rPr>
            <w:rFonts w:ascii="Times New Roman" w:cs="Times New Roman" w:eastAsia="Times New Roman" w:hAnsi="Times New Roman"/>
            <w:sz w:val="14"/>
            <w:szCs w:val="14"/>
            <w:u w:val="single" w:color="auto"/>
            <w:color w:val="0000EE"/>
          </w:rPr>
          <w:t>our annual report on Form 20-F for the year ended December 31, 2025, filed with the SEC on</w:t>
        </w:r>
      </w:hyperlink>
      <w:r>
        <w:rPr>
          <w:rFonts w:ascii="Times New Roman" w:cs="Times New Roman" w:eastAsia="Times New Roman" w:hAnsi="Times New Roman"/>
          <w:sz w:val="14"/>
          <w:szCs w:val="14"/>
          <w:u w:val="single" w:color="auto"/>
          <w:color w:val="0000EE"/>
        </w:rPr>
        <w:t xml:space="preserve"> </w:t>
      </w:r>
      <w:hyperlink r:id="rId37">
        <w:r>
          <w:rPr>
            <w:rFonts w:ascii="Times New Roman" w:cs="Times New Roman" w:eastAsia="Times New Roman" w:hAnsi="Times New Roman"/>
            <w:sz w:val="14"/>
            <w:szCs w:val="14"/>
            <w:u w:val="single" w:color="auto"/>
            <w:color w:val="0000EE"/>
          </w:rPr>
          <w:t>April 29, 2026; and</w:t>
        </w:r>
      </w:hyperlink>
    </w:p>
    <w:p>
      <w:pPr>
        <w:spacing w:after="0" w:line="39" w:lineRule="exact"/>
        <w:rPr>
          <w:rFonts w:ascii="Times New Roman" w:cs="Times New Roman" w:eastAsia="Times New Roman" w:hAnsi="Times New Roman"/>
          <w:sz w:val="14"/>
          <w:szCs w:val="14"/>
          <w:u w:val="single" w:color="auto"/>
          <w:color w:val="0000EE"/>
        </w:rPr>
      </w:pPr>
    </w:p>
    <w:p>
      <w:pPr>
        <w:ind w:left="1680" w:right="1419" w:hanging="135"/>
        <w:spacing w:after="0" w:line="264" w:lineRule="auto"/>
        <w:tabs>
          <w:tab w:leader="none" w:pos="1680" w:val="left"/>
        </w:tabs>
        <w:numPr>
          <w:ilvl w:val="0"/>
          <w:numId w:val="27"/>
        </w:numPr>
        <w:rPr>
          <w:rFonts w:ascii="Times New Roman" w:cs="Times New Roman" w:eastAsia="Times New Roman" w:hAnsi="Times New Roman"/>
          <w:sz w:val="14"/>
          <w:szCs w:val="14"/>
          <w:color w:val="000000"/>
        </w:rPr>
      </w:pPr>
      <w:hyperlink r:id="rId64">
        <w:r>
          <w:rPr>
            <w:rFonts w:ascii="Times New Roman" w:cs="Times New Roman" w:eastAsia="Times New Roman" w:hAnsi="Times New Roman"/>
            <w:sz w:val="14"/>
            <w:szCs w:val="14"/>
            <w:color w:val="auto"/>
          </w:rPr>
          <w:t xml:space="preserve">the description of the securities contained in our registration statement on </w:t>
        </w:r>
        <w:r>
          <w:rPr>
            <w:rFonts w:ascii="Times New Roman" w:cs="Times New Roman" w:eastAsia="Times New Roman" w:hAnsi="Times New Roman"/>
            <w:sz w:val="14"/>
            <w:szCs w:val="14"/>
            <w:u w:val="single" w:color="auto"/>
            <w:color w:val="0000EE"/>
          </w:rPr>
          <w:t>Form 8-A filed on</w:t>
        </w:r>
      </w:hyperlink>
      <w:r>
        <w:rPr>
          <w:rFonts w:ascii="Times New Roman" w:cs="Times New Roman" w:eastAsia="Times New Roman" w:hAnsi="Times New Roman"/>
          <w:sz w:val="14"/>
          <w:szCs w:val="14"/>
          <w:color w:val="auto"/>
        </w:rPr>
        <w:t xml:space="preserve"> </w:t>
      </w:r>
      <w:hyperlink r:id="rId64">
        <w:r>
          <w:rPr>
            <w:rFonts w:ascii="Times New Roman" w:cs="Times New Roman" w:eastAsia="Times New Roman" w:hAnsi="Times New Roman"/>
            <w:sz w:val="14"/>
            <w:szCs w:val="14"/>
            <w:u w:val="single" w:color="auto"/>
            <w:color w:val="0000EE"/>
          </w:rPr>
          <w:t>April 10, 2025</w:t>
        </w:r>
        <w:r>
          <w:rPr>
            <w:rFonts w:ascii="Times New Roman" w:cs="Times New Roman" w:eastAsia="Times New Roman" w:hAnsi="Times New Roman"/>
            <w:sz w:val="14"/>
            <w:szCs w:val="14"/>
            <w:color w:val="000000"/>
          </w:rPr>
          <w:t xml:space="preserve">, pursuant to Section 12 of the Exchange Act, together with all amendments </w:t>
        </w:r>
      </w:hyperlink>
      <w:r>
        <w:rPr>
          <w:rFonts w:ascii="Times New Roman" w:cs="Times New Roman" w:eastAsia="Times New Roman" w:hAnsi="Times New Roman"/>
          <w:sz w:val="14"/>
          <w:szCs w:val="14"/>
          <w:color w:val="0000EE"/>
        </w:rPr>
        <w:t xml:space="preserve">and </w:t>
      </w:r>
      <w:r>
        <w:rPr>
          <w:rFonts w:ascii="Times New Roman" w:cs="Times New Roman" w:eastAsia="Times New Roman" w:hAnsi="Times New Roman"/>
          <w:sz w:val="14"/>
          <w:szCs w:val="14"/>
          <w:color w:val="000000"/>
        </w:rPr>
        <w:t xml:space="preserve">reports filed for the purpose of updating that description, including the description of our securities included as </w:t>
      </w:r>
      <w:hyperlink r:id="rId65">
        <w:r>
          <w:rPr>
            <w:rFonts w:ascii="Times New Roman" w:cs="Times New Roman" w:eastAsia="Times New Roman" w:hAnsi="Times New Roman"/>
            <w:sz w:val="14"/>
            <w:szCs w:val="14"/>
            <w:u w:val="single" w:color="auto"/>
            <w:color w:val="0000EE"/>
          </w:rPr>
          <w:t>Exhibit 2.5</w:t>
        </w:r>
        <w:r>
          <w:rPr>
            <w:rFonts w:ascii="Times New Roman" w:cs="Times New Roman" w:eastAsia="Times New Roman" w:hAnsi="Times New Roman"/>
            <w:sz w:val="14"/>
            <w:szCs w:val="14"/>
            <w:u w:val="single" w:color="auto"/>
            <w:color w:val="000000"/>
          </w:rPr>
          <w:t xml:space="preserve"> </w:t>
        </w:r>
      </w:hyperlink>
      <w:r>
        <w:rPr>
          <w:rFonts w:ascii="Times New Roman" w:cs="Times New Roman" w:eastAsia="Times New Roman" w:hAnsi="Times New Roman"/>
          <w:sz w:val="14"/>
          <w:szCs w:val="14"/>
          <w:color w:val="000000"/>
        </w:rPr>
        <w:t>to the Company’s Annual Report on Form 20-F filed with the SEC on April 29, 2026.</w:t>
      </w:r>
    </w:p>
    <w:p>
      <w:pPr>
        <w:spacing w:after="0" w:line="263" w:lineRule="exact"/>
        <w:rPr>
          <w:rFonts w:ascii="Times New Roman" w:cs="Times New Roman" w:eastAsia="Times New Roman" w:hAnsi="Times New Roman"/>
          <w:sz w:val="14"/>
          <w:szCs w:val="14"/>
          <w:color w:val="auto"/>
        </w:rPr>
      </w:pPr>
    </w:p>
    <w:p>
      <w:pPr>
        <w:ind w:left="1260" w:right="1319" w:firstLine="284"/>
        <w:spacing w:after="0" w:line="248" w:lineRule="auto"/>
        <w:rPr>
          <w:sz w:val="20"/>
          <w:szCs w:val="20"/>
          <w:color w:val="auto"/>
        </w:rPr>
      </w:pPr>
      <w:r>
        <w:rPr>
          <w:rFonts w:ascii="Times New Roman" w:cs="Times New Roman" w:eastAsia="Times New Roman" w:hAnsi="Times New Roman"/>
          <w:sz w:val="14"/>
          <w:szCs w:val="14"/>
          <w:color w:val="auto"/>
        </w:rPr>
        <w:t>We are also incorporating by reference all subsequent Annual Reports on Form 20-F that we file with the SEC and certain reports on Form 6-K that we furnish to the SEC that so indicates it is being incorporated by reference after (i) the date of the initial registration statement of which this prospectus forms a part and prior to effectiveness of such registration statement (if they state that they are incorporated by reference into such registration statement) and (ii) the date of this prospectus prior to the termination of the offering of the securities offered by this prospectus (if they state that they are incorporated by reference into this prospectus). In all cases, you should rely on the later information over different information included in this prospectus or any accompanying prospectus supplement.</w:t>
      </w:r>
    </w:p>
    <w:p>
      <w:pPr>
        <w:spacing w:after="0" w:line="88" w:lineRule="exact"/>
        <w:rPr>
          <w:rFonts w:ascii="Times New Roman" w:cs="Times New Roman" w:eastAsia="Times New Roman" w:hAnsi="Times New Roman"/>
          <w:sz w:val="14"/>
          <w:szCs w:val="14"/>
          <w:color w:val="auto"/>
        </w:rPr>
      </w:pPr>
    </w:p>
    <w:p>
      <w:pPr>
        <w:ind w:left="1260" w:right="1339" w:firstLine="284"/>
        <w:spacing w:after="0" w:line="262" w:lineRule="auto"/>
        <w:rPr>
          <w:sz w:val="20"/>
          <w:szCs w:val="20"/>
          <w:color w:val="auto"/>
        </w:rPr>
      </w:pPr>
      <w:r>
        <w:rPr>
          <w:rFonts w:ascii="Times New Roman" w:cs="Times New Roman" w:eastAsia="Times New Roman" w:hAnsi="Times New Roman"/>
          <w:sz w:val="14"/>
          <w:szCs w:val="14"/>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263" w:lineRule="exact"/>
        <w:rPr>
          <w:rFonts w:ascii="Times New Roman" w:cs="Times New Roman" w:eastAsia="Times New Roman" w:hAnsi="Times New Roman"/>
          <w:sz w:val="14"/>
          <w:szCs w:val="14"/>
          <w:color w:val="auto"/>
        </w:rPr>
      </w:pPr>
    </w:p>
    <w:p>
      <w:pPr>
        <w:ind w:left="3720"/>
        <w:spacing w:after="0"/>
        <w:rPr>
          <w:sz w:val="20"/>
          <w:szCs w:val="20"/>
          <w:color w:val="auto"/>
        </w:rPr>
      </w:pPr>
      <w:r>
        <w:rPr>
          <w:rFonts w:ascii="Times New Roman" w:cs="Times New Roman" w:eastAsia="Times New Roman" w:hAnsi="Times New Roman"/>
          <w:sz w:val="14"/>
          <w:szCs w:val="14"/>
          <w:color w:val="auto"/>
        </w:rPr>
        <w:t>Chagee Holdings Limited</w:t>
      </w:r>
    </w:p>
    <w:p>
      <w:pPr>
        <w:spacing w:after="0" w:line="24" w:lineRule="exact"/>
        <w:rPr>
          <w:rFonts w:ascii="Times New Roman" w:cs="Times New Roman" w:eastAsia="Times New Roman" w:hAnsi="Times New Roman"/>
          <w:sz w:val="14"/>
          <w:szCs w:val="14"/>
          <w:color w:val="auto"/>
        </w:rPr>
      </w:pPr>
    </w:p>
    <w:p>
      <w:pPr>
        <w:ind w:left="3380"/>
        <w:spacing w:after="0"/>
        <w:rPr>
          <w:sz w:val="20"/>
          <w:szCs w:val="20"/>
          <w:color w:val="auto"/>
        </w:rPr>
      </w:pPr>
      <w:r>
        <w:rPr>
          <w:rFonts w:ascii="Times New Roman" w:cs="Times New Roman" w:eastAsia="Times New Roman" w:hAnsi="Times New Roman"/>
          <w:sz w:val="14"/>
          <w:szCs w:val="14"/>
          <w:color w:val="auto"/>
        </w:rPr>
        <w:t>Tower B, Hongqiao Lianhe Building,</w:t>
      </w:r>
    </w:p>
    <w:p>
      <w:pPr>
        <w:spacing w:after="0" w:line="10" w:lineRule="exact"/>
        <w:rPr>
          <w:rFonts w:ascii="Times New Roman" w:cs="Times New Roman" w:eastAsia="Times New Roman" w:hAnsi="Times New Roman"/>
          <w:sz w:val="14"/>
          <w:szCs w:val="14"/>
          <w:color w:val="auto"/>
        </w:rPr>
      </w:pPr>
    </w:p>
    <w:p>
      <w:pPr>
        <w:ind w:left="3840"/>
        <w:spacing w:after="0"/>
        <w:rPr>
          <w:sz w:val="20"/>
          <w:szCs w:val="20"/>
          <w:color w:val="auto"/>
        </w:rPr>
      </w:pPr>
      <w:r>
        <w:rPr>
          <w:rFonts w:ascii="Times New Roman" w:cs="Times New Roman" w:eastAsia="Times New Roman" w:hAnsi="Times New Roman"/>
          <w:sz w:val="14"/>
          <w:szCs w:val="14"/>
          <w:color w:val="auto"/>
        </w:rPr>
        <w:t>No.99 Kaihong Road,</w:t>
      </w:r>
    </w:p>
    <w:p>
      <w:pPr>
        <w:spacing w:after="0" w:line="10" w:lineRule="exact"/>
        <w:rPr>
          <w:rFonts w:ascii="Times New Roman" w:cs="Times New Roman" w:eastAsia="Times New Roman" w:hAnsi="Times New Roman"/>
          <w:sz w:val="14"/>
          <w:szCs w:val="14"/>
          <w:color w:val="auto"/>
        </w:rPr>
      </w:pPr>
    </w:p>
    <w:p>
      <w:pPr>
        <w:ind w:left="3600"/>
        <w:spacing w:after="0"/>
        <w:rPr>
          <w:sz w:val="20"/>
          <w:szCs w:val="20"/>
          <w:color w:val="auto"/>
        </w:rPr>
      </w:pPr>
      <w:r>
        <w:rPr>
          <w:rFonts w:ascii="Times New Roman" w:cs="Times New Roman" w:eastAsia="Times New Roman" w:hAnsi="Times New Roman"/>
          <w:sz w:val="14"/>
          <w:szCs w:val="14"/>
          <w:color w:val="auto"/>
        </w:rPr>
        <w:t>Changning District, Shanghai</w:t>
      </w:r>
    </w:p>
    <w:p>
      <w:pPr>
        <w:spacing w:after="0" w:line="10" w:lineRule="exact"/>
        <w:rPr>
          <w:rFonts w:ascii="Times New Roman" w:cs="Times New Roman" w:eastAsia="Times New Roman" w:hAnsi="Times New Roman"/>
          <w:sz w:val="14"/>
          <w:szCs w:val="14"/>
          <w:color w:val="auto"/>
        </w:rPr>
      </w:pPr>
    </w:p>
    <w:p>
      <w:pPr>
        <w:ind w:left="3440"/>
        <w:spacing w:after="0"/>
        <w:rPr>
          <w:sz w:val="20"/>
          <w:szCs w:val="20"/>
          <w:color w:val="auto"/>
        </w:rPr>
      </w:pPr>
      <w:r>
        <w:rPr>
          <w:rFonts w:ascii="Times New Roman" w:cs="Times New Roman" w:eastAsia="Times New Roman" w:hAnsi="Times New Roman"/>
          <w:sz w:val="14"/>
          <w:szCs w:val="14"/>
          <w:color w:val="auto"/>
        </w:rPr>
        <w:t>People’s Republic of China, 20051</w:t>
      </w:r>
    </w:p>
    <w:p>
      <w:pPr>
        <w:spacing w:after="0" w:line="10" w:lineRule="exact"/>
        <w:rPr>
          <w:rFonts w:ascii="Times New Roman" w:cs="Times New Roman" w:eastAsia="Times New Roman" w:hAnsi="Times New Roman"/>
          <w:sz w:val="14"/>
          <w:szCs w:val="14"/>
          <w:color w:val="auto"/>
        </w:rPr>
      </w:pPr>
    </w:p>
    <w:p>
      <w:pPr>
        <w:ind w:left="3900"/>
        <w:spacing w:after="0"/>
        <w:rPr>
          <w:sz w:val="20"/>
          <w:szCs w:val="20"/>
          <w:color w:val="auto"/>
        </w:rPr>
      </w:pPr>
      <w:r>
        <w:rPr>
          <w:rFonts w:ascii="Times New Roman" w:cs="Times New Roman" w:eastAsia="Times New Roman" w:hAnsi="Times New Roman"/>
          <w:sz w:val="14"/>
          <w:szCs w:val="14"/>
          <w:color w:val="auto"/>
        </w:rPr>
        <w:t>+86 186 8893 0014</w:t>
      </w:r>
    </w:p>
    <w:p>
      <w:pPr>
        <w:spacing w:after="0" w:line="10" w:lineRule="exact"/>
        <w:rPr>
          <w:rFonts w:ascii="Times New Roman" w:cs="Times New Roman" w:eastAsia="Times New Roman" w:hAnsi="Times New Roman"/>
          <w:sz w:val="14"/>
          <w:szCs w:val="14"/>
          <w:color w:val="auto"/>
        </w:rPr>
      </w:pPr>
    </w:p>
    <w:p>
      <w:pPr>
        <w:ind w:left="3640"/>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100" w:lineRule="exact"/>
        <w:rPr>
          <w:rFonts w:ascii="Times New Roman" w:cs="Times New Roman" w:eastAsia="Times New Roman" w:hAnsi="Times New Roman"/>
          <w:sz w:val="14"/>
          <w:szCs w:val="14"/>
          <w:color w:val="auto"/>
        </w:rPr>
      </w:pPr>
    </w:p>
    <w:p>
      <w:pPr>
        <w:ind w:left="1260" w:right="1319" w:firstLine="284"/>
        <w:spacing w:after="0" w:line="273" w:lineRule="auto"/>
        <w:rPr>
          <w:sz w:val="20"/>
          <w:szCs w:val="20"/>
          <w:color w:val="auto"/>
        </w:rPr>
      </w:pPr>
      <w:r>
        <w:rPr>
          <w:rFonts w:ascii="Times New Roman" w:cs="Times New Roman" w:eastAsia="Times New Roman" w:hAnsi="Times New Roman"/>
          <w:sz w:val="14"/>
          <w:szCs w:val="14"/>
          <w:color w:val="auto"/>
        </w:rPr>
        <w:t xml:space="preserve">You may also access these documents on our website, </w:t>
      </w:r>
      <w:r>
        <w:rPr>
          <w:rFonts w:ascii="Times New Roman" w:cs="Times New Roman" w:eastAsia="Times New Roman" w:hAnsi="Times New Roman"/>
          <w:sz w:val="14"/>
          <w:szCs w:val="14"/>
          <w:i w:val="1"/>
          <w:iCs w:val="1"/>
          <w:color w:val="auto"/>
        </w:rPr>
        <w:t>https://investor.chagee.com</w:t>
      </w:r>
      <w:r>
        <w:rPr>
          <w:rFonts w:ascii="Times New Roman" w:cs="Times New Roman" w:eastAsia="Times New Roman" w:hAnsi="Times New Roman"/>
          <w:sz w:val="14"/>
          <w:szCs w:val="14"/>
          <w:color w:val="auto"/>
        </w:rPr>
        <w:t>. The information contained on, or that can be accessed through, our website is not a part of this prospectus. We have included our website address in this prospectus solely as an inactive textual reference.</w:t>
      </w:r>
    </w:p>
    <w:p>
      <w:pPr>
        <w:spacing w:after="0" w:line="82" w:lineRule="exact"/>
        <w:rPr>
          <w:rFonts w:ascii="Times New Roman" w:cs="Times New Roman" w:eastAsia="Times New Roman" w:hAnsi="Times New Roman"/>
          <w:sz w:val="14"/>
          <w:szCs w:val="14"/>
          <w:color w:val="auto"/>
        </w:rPr>
      </w:pPr>
    </w:p>
    <w:p>
      <w:pPr>
        <w:ind w:left="1260" w:right="1339" w:firstLine="284"/>
        <w:spacing w:after="0" w:line="262" w:lineRule="auto"/>
        <w:rPr>
          <w:sz w:val="20"/>
          <w:szCs w:val="20"/>
          <w:color w:val="auto"/>
        </w:rPr>
      </w:pPr>
      <w:r>
        <w:rPr>
          <w:rFonts w:ascii="Times New Roman" w:cs="Times New Roman" w:eastAsia="Times New Roman" w:hAnsi="Times New Roman"/>
          <w:sz w:val="14"/>
          <w:szCs w:val="14"/>
          <w:color w:val="auto"/>
        </w:rPr>
        <w:t>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0" w:lineRule="exact"/>
        <w:rPr>
          <w:rFonts w:ascii="Times New Roman" w:cs="Times New Roman" w:eastAsia="Times New Roman" w:hAnsi="Times New Roman"/>
          <w:sz w:val="14"/>
          <w:szCs w:val="14"/>
          <w:color w:val="auto"/>
        </w:rPr>
      </w:pPr>
    </w:p>
    <w:p>
      <w:pPr>
        <w:spacing w:after="0" w:line="255"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5" w:name="page36"/>
    <w:bookmarkEnd w:id="35"/>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Item 8. Indemnification of Directors and Officers</w:t>
      </w:r>
    </w:p>
    <w:p>
      <w:pPr>
        <w:spacing w:after="0" w:line="129" w:lineRule="exact"/>
        <w:rPr>
          <w:sz w:val="20"/>
          <w:szCs w:val="20"/>
          <w:color w:val="auto"/>
        </w:rPr>
      </w:pPr>
    </w:p>
    <w:p>
      <w:pPr>
        <w:ind w:left="1260" w:right="1319" w:firstLine="284"/>
        <w:spacing w:after="0" w:line="249" w:lineRule="auto"/>
        <w:rPr>
          <w:sz w:val="20"/>
          <w:szCs w:val="20"/>
          <w:color w:val="auto"/>
        </w:rPr>
      </w:pPr>
      <w:r>
        <w:rPr>
          <w:rFonts w:ascii="Times New Roman" w:cs="Times New Roman" w:eastAsia="Times New Roman" w:hAnsi="Times New Roman"/>
          <w:sz w:val="14"/>
          <w:szCs w:val="14"/>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conduct amounting to willful default, willful neglect, fraud or dishonesty, for example, civil fraud or the consequences of committing a crime. Our articles of association provide for indemnification of officers and directors for actions, proceedings, costs, charges, expenses, losses, damages or liabilities incurred or sustained in their capacities as such, except through their own dishonesty, willful default or fraud.</w:t>
      </w:r>
    </w:p>
    <w:p>
      <w:pPr>
        <w:spacing w:after="0" w:line="90" w:lineRule="exact"/>
        <w:rPr>
          <w:sz w:val="20"/>
          <w:szCs w:val="20"/>
          <w:color w:val="auto"/>
        </w:rPr>
      </w:pPr>
    </w:p>
    <w:p>
      <w:pPr>
        <w:ind w:left="1260" w:right="1379" w:firstLine="284"/>
        <w:spacing w:after="0" w:line="251" w:lineRule="auto"/>
        <w:rPr>
          <w:sz w:val="20"/>
          <w:szCs w:val="20"/>
          <w:color w:val="auto"/>
        </w:rPr>
      </w:pPr>
      <w:r>
        <w:rPr>
          <w:rFonts w:ascii="Times New Roman" w:cs="Times New Roman" w:eastAsia="Times New Roman" w:hAnsi="Times New Roman"/>
          <w:sz w:val="14"/>
          <w:szCs w:val="14"/>
          <w:color w:val="auto"/>
        </w:rPr>
        <w:t>Pursuant to the indemnification agreements, the form of which has been filed as Exhibit 10.2 to the registration statement on Form F-1 filed with the Securities and Exchange Commission on March 25, 2025 (File No. 333- 286081), as amended, we agreed to indemnify our directors and officers against certain liabilities and expenses incurred by such persons in connection with claims made by reason of their being such a director or officer.</w:t>
      </w:r>
    </w:p>
    <w:p>
      <w:pPr>
        <w:spacing w:after="0" w:line="86" w:lineRule="exact"/>
        <w:rPr>
          <w:sz w:val="20"/>
          <w:szCs w:val="20"/>
          <w:color w:val="auto"/>
        </w:rPr>
      </w:pPr>
    </w:p>
    <w:p>
      <w:pPr>
        <w:ind w:left="1260" w:right="1359" w:firstLine="284"/>
        <w:spacing w:after="0" w:line="255" w:lineRule="auto"/>
        <w:rPr>
          <w:sz w:val="20"/>
          <w:szCs w:val="20"/>
          <w:color w:val="auto"/>
        </w:rPr>
      </w:pPr>
      <w:r>
        <w:rPr>
          <w:rFonts w:ascii="Times New Roman" w:cs="Times New Roman" w:eastAsia="Times New Roman" w:hAnsi="Times New Roman"/>
          <w:sz w:val="14"/>
          <w:szCs w:val="14"/>
          <w:color w:val="auto"/>
        </w:rPr>
        <w:t>Any underwriting agreement that we may enter into in connection with an offering of securities pursuant to this registration statement may also provide for indemnification by the underwriters of us and our officers and directors for certain liabilities, including liabilities arising under the Securities Act, but only to the extent that such liabilities are caused by information relating to the underwriters furnished to us in writing expressly for use in this registration statement and certain other disclosure documents.</w:t>
      </w:r>
    </w:p>
    <w:p>
      <w:pPr>
        <w:spacing w:after="0" w:line="84" w:lineRule="exact"/>
        <w:rPr>
          <w:sz w:val="20"/>
          <w:szCs w:val="20"/>
          <w:color w:val="auto"/>
        </w:rPr>
      </w:pPr>
    </w:p>
    <w:p>
      <w:pPr>
        <w:ind w:left="1260" w:right="1459" w:firstLine="284"/>
        <w:spacing w:after="0" w:line="255"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as amended, or the Securities Act, may be permitted to directors, officers or persons controlling us pursuant to the foregoing provisions, we have been informed that in the opinion of the Securities and Exchange Commission such indemnification is against public policy as expressed in the Securities Act and is therefore unenforceable.</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Item 9. Exhibits</w:t>
      </w:r>
    </w:p>
    <w:p>
      <w:pPr>
        <w:spacing w:after="0" w:line="1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See the Exhibit Index included herewith which is incorporated herein by reference.</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Item 10. Undertakings</w:t>
      </w:r>
    </w:p>
    <w:p>
      <w:pPr>
        <w:spacing w:after="0" w:line="129" w:lineRule="exact"/>
        <w:rPr>
          <w:sz w:val="20"/>
          <w:szCs w:val="20"/>
          <w:color w:val="auto"/>
        </w:rPr>
      </w:pPr>
    </w:p>
    <w:p>
      <w:pPr>
        <w:ind w:left="1540"/>
        <w:spacing w:after="0"/>
        <w:tabs>
          <w:tab w:leader="none" w:pos="1800" w:val="left"/>
        </w:tabs>
        <w:rPr>
          <w:sz w:val="20"/>
          <w:szCs w:val="20"/>
          <w:color w:val="auto"/>
        </w:rPr>
      </w:pPr>
      <w:r>
        <w:rPr>
          <w:rFonts w:ascii="Times New Roman" w:cs="Times New Roman" w:eastAsia="Times New Roman" w:hAnsi="Times New Roman"/>
          <w:sz w:val="14"/>
          <w:szCs w:val="14"/>
          <w:color w:val="auto"/>
        </w:rPr>
        <w:t>(a)</w:t>
        <w:tab/>
        <w:t>The undersigned registrant hereby undertakes:</w:t>
      </w:r>
    </w:p>
    <w:p>
      <w:pPr>
        <w:spacing w:after="0" w:line="106" w:lineRule="exact"/>
        <w:rPr>
          <w:sz w:val="20"/>
          <w:szCs w:val="20"/>
          <w:color w:val="auto"/>
        </w:rPr>
      </w:pPr>
    </w:p>
    <w:p>
      <w:pPr>
        <w:ind w:left="1820" w:right="1399" w:hanging="275"/>
        <w:spacing w:after="0" w:line="289" w:lineRule="auto"/>
        <w:tabs>
          <w:tab w:leader="none" w:pos="18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60" w:lineRule="exact"/>
        <w:rPr>
          <w:rFonts w:ascii="Times New Roman" w:cs="Times New Roman" w:eastAsia="Times New Roman" w:hAnsi="Times New Roman"/>
          <w:sz w:val="14"/>
          <w:szCs w:val="14"/>
          <w:color w:val="auto"/>
        </w:rPr>
      </w:pPr>
    </w:p>
    <w:p>
      <w:pPr>
        <w:ind w:left="2120" w:hanging="290"/>
        <w:spacing w:after="0"/>
        <w:tabs>
          <w:tab w:leader="none" w:pos="212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05" w:lineRule="exact"/>
        <w:rPr>
          <w:rFonts w:ascii="Times New Roman" w:cs="Times New Roman" w:eastAsia="Times New Roman" w:hAnsi="Times New Roman"/>
          <w:sz w:val="14"/>
          <w:szCs w:val="14"/>
          <w:color w:val="auto"/>
        </w:rPr>
      </w:pPr>
    </w:p>
    <w:p>
      <w:pPr>
        <w:ind w:left="2120" w:right="1379" w:hanging="290"/>
        <w:spacing w:after="0" w:line="258" w:lineRule="auto"/>
        <w:tabs>
          <w:tab w:leader="none" w:pos="212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83" w:lineRule="exact"/>
        <w:rPr>
          <w:rFonts w:ascii="Times New Roman" w:cs="Times New Roman" w:eastAsia="Times New Roman" w:hAnsi="Times New Roman"/>
          <w:sz w:val="14"/>
          <w:szCs w:val="14"/>
          <w:color w:val="auto"/>
        </w:rPr>
      </w:pPr>
    </w:p>
    <w:p>
      <w:pPr>
        <w:ind w:left="2120" w:right="1539" w:hanging="290"/>
        <w:spacing w:after="0" w:line="272" w:lineRule="auto"/>
        <w:tabs>
          <w:tab w:leader="none" w:pos="212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69" w:lineRule="exact"/>
        <w:rPr>
          <w:rFonts w:ascii="Times New Roman" w:cs="Times New Roman" w:eastAsia="Times New Roman" w:hAnsi="Times New Roman"/>
          <w:sz w:val="14"/>
          <w:szCs w:val="14"/>
          <w:color w:val="auto"/>
        </w:rPr>
      </w:pPr>
    </w:p>
    <w:p>
      <w:pPr>
        <w:ind w:left="2120" w:right="1479"/>
        <w:spacing w:after="0" w:line="27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provided, however, </w:t>
      </w:r>
      <w:r>
        <w:rPr>
          <w:rFonts w:ascii="Times New Roman" w:cs="Times New Roman" w:eastAsia="Times New Roman" w:hAnsi="Times New Roman"/>
          <w:sz w:val="14"/>
          <w:szCs w:val="14"/>
          <w:color w:val="auto"/>
        </w:rPr>
        <w:t>that paragraphs (1)(i), (1)(ii) and (1)(iii) do not apply if the information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required to be included in a post-effective amendment by those paragraphs is contained in</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6" w:name="page37"/>
    <w:bookmarkEnd w:id="36"/>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120" w:right="1359"/>
        <w:spacing w:after="0" w:line="266" w:lineRule="auto"/>
        <w:rPr>
          <w:sz w:val="20"/>
          <w:szCs w:val="20"/>
          <w:color w:val="auto"/>
        </w:rPr>
      </w:pPr>
      <w:r>
        <w:rPr>
          <w:rFonts w:ascii="Times New Roman" w:cs="Times New Roman" w:eastAsia="Times New Roman" w:hAnsi="Times New Roman"/>
          <w:sz w:val="14"/>
          <w:szCs w:val="14"/>
          <w:color w:val="auto"/>
        </w:rPr>
        <w:t>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86" w:lineRule="exact"/>
        <w:rPr>
          <w:sz w:val="20"/>
          <w:szCs w:val="20"/>
          <w:color w:val="auto"/>
        </w:rPr>
      </w:pPr>
    </w:p>
    <w:p>
      <w:pPr>
        <w:ind w:left="1820" w:right="1419" w:hanging="275"/>
        <w:spacing w:after="0" w:line="266" w:lineRule="auto"/>
        <w:tabs>
          <w:tab w:leader="none" w:pos="18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Times New Roman" w:cs="Times New Roman" w:eastAsia="Times New Roman" w:hAnsi="Times New Roman"/>
          <w:sz w:val="14"/>
          <w:szCs w:val="14"/>
          <w:color w:val="auto"/>
        </w:rPr>
      </w:pPr>
    </w:p>
    <w:p>
      <w:pPr>
        <w:ind w:left="1820" w:right="1439" w:hanging="275"/>
        <w:spacing w:after="0" w:line="289" w:lineRule="auto"/>
        <w:tabs>
          <w:tab w:leader="none" w:pos="18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60" w:lineRule="exact"/>
        <w:rPr>
          <w:rFonts w:ascii="Times New Roman" w:cs="Times New Roman" w:eastAsia="Times New Roman" w:hAnsi="Times New Roman"/>
          <w:sz w:val="14"/>
          <w:szCs w:val="14"/>
          <w:color w:val="auto"/>
        </w:rPr>
      </w:pPr>
    </w:p>
    <w:p>
      <w:pPr>
        <w:ind w:left="1820" w:right="1299" w:hanging="275"/>
        <w:spacing w:after="0" w:line="258" w:lineRule="auto"/>
        <w:tabs>
          <w:tab w:leader="none" w:pos="18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w:t>
      </w:r>
    </w:p>
    <w:p>
      <w:pPr>
        <w:spacing w:after="0" w:line="2" w:lineRule="exact"/>
        <w:rPr>
          <w:rFonts w:ascii="Times New Roman" w:cs="Times New Roman" w:eastAsia="Times New Roman" w:hAnsi="Times New Roman"/>
          <w:sz w:val="14"/>
          <w:szCs w:val="14"/>
          <w:color w:val="auto"/>
        </w:rPr>
      </w:pPr>
    </w:p>
    <w:p>
      <w:pPr>
        <w:ind w:left="1820" w:right="1279"/>
        <w:spacing w:after="0" w:line="25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the registration statement.</w:t>
      </w:r>
    </w:p>
    <w:p>
      <w:pPr>
        <w:spacing w:after="0" w:line="263" w:lineRule="exact"/>
        <w:rPr>
          <w:rFonts w:ascii="Times New Roman" w:cs="Times New Roman" w:eastAsia="Times New Roman" w:hAnsi="Times New Roman"/>
          <w:sz w:val="14"/>
          <w:szCs w:val="14"/>
          <w:color w:val="auto"/>
        </w:rPr>
      </w:pPr>
    </w:p>
    <w:p>
      <w:pPr>
        <w:ind w:left="1820" w:hanging="275"/>
        <w:spacing w:after="0"/>
        <w:tabs>
          <w:tab w:leader="none" w:pos="18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27" w:lineRule="exact"/>
        <w:rPr>
          <w:sz w:val="20"/>
          <w:szCs w:val="20"/>
          <w:color w:val="auto"/>
        </w:rPr>
      </w:pPr>
    </w:p>
    <w:p>
      <w:pPr>
        <w:ind w:left="2120" w:right="1379" w:hanging="290"/>
        <w:spacing w:after="0" w:line="272" w:lineRule="auto"/>
        <w:tabs>
          <w:tab w:leader="none" w:pos="212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1" w:lineRule="exact"/>
        <w:rPr>
          <w:rFonts w:ascii="Times New Roman" w:cs="Times New Roman" w:eastAsia="Times New Roman" w:hAnsi="Times New Roman"/>
          <w:sz w:val="14"/>
          <w:szCs w:val="14"/>
          <w:color w:val="auto"/>
        </w:rPr>
      </w:pPr>
    </w:p>
    <w:p>
      <w:pPr>
        <w:ind w:left="2120" w:right="1319" w:hanging="290"/>
        <w:spacing w:after="0" w:line="256" w:lineRule="auto"/>
        <w:tabs>
          <w:tab w:leader="none" w:pos="212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71" w:lineRule="exact"/>
        <w:rPr>
          <w:rFonts w:ascii="Times New Roman" w:cs="Times New Roman" w:eastAsia="Times New Roman" w:hAnsi="Times New Roman"/>
          <w:sz w:val="14"/>
          <w:szCs w:val="14"/>
          <w:color w:val="auto"/>
        </w:rPr>
      </w:pPr>
    </w:p>
    <w:p>
      <w:pPr>
        <w:ind w:left="1820" w:right="1359" w:hanging="275"/>
        <w:spacing w:after="0" w:line="260" w:lineRule="auto"/>
        <w:tabs>
          <w:tab w:leader="none" w:pos="18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7" w:name="page38"/>
    <w:bookmarkEnd w:id="37"/>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20" w:right="1319" w:hanging="275"/>
        <w:spacing w:after="0" w:line="257" w:lineRule="auto"/>
        <w:tabs>
          <w:tab w:leader="none" w:pos="18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8" w:name="page39"/>
    <w:bookmarkEnd w:id="38"/>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79"/>
        </w:trPr>
        <w:tc>
          <w:tcPr>
            <w:tcW w:w="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920" w:type="dxa"/>
            <w:vAlign w:val="bottom"/>
            <w:gridSpan w:val="2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5"/>
                <w:szCs w:val="15"/>
                <w:color w:val="auto"/>
              </w:rPr>
            </w:pPr>
          </w:p>
        </w:tc>
        <w:tc>
          <w:tcPr>
            <w:tcW w:w="2260" w:type="dxa"/>
            <w:vAlign w:val="bottom"/>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Incorporation by Reference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1"/>
        </w:trPr>
        <w:tc>
          <w:tcPr>
            <w:tcW w:w="4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420" w:type="dxa"/>
            <w:vAlign w:val="bottom"/>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No.</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19"/>
          </w:tcPr>
          <w:p>
            <w:pPr>
              <w:ind w:left="60"/>
              <w:spacing w:after="0"/>
              <w:rPr>
                <w:sz w:val="20"/>
                <w:szCs w:val="20"/>
                <w:color w:val="auto"/>
              </w:rPr>
            </w:pPr>
            <w:r>
              <w:rPr>
                <w:rFonts w:ascii="Times New Roman" w:cs="Times New Roman" w:eastAsia="Times New Roman" w:hAnsi="Times New Roman"/>
                <w:sz w:val="11"/>
                <w:szCs w:val="11"/>
                <w:b w:val="1"/>
                <w:bCs w:val="1"/>
                <w:color w:val="auto"/>
              </w:rPr>
              <w:t>Description of Document</w:t>
            </w:r>
          </w:p>
        </w:tc>
        <w:tc>
          <w:tcPr>
            <w:tcW w:w="52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Form</w:t>
            </w:r>
          </w:p>
        </w:tc>
        <w:tc>
          <w:tcPr>
            <w:tcW w:w="86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File No.</w:t>
            </w:r>
          </w:p>
        </w:tc>
        <w:tc>
          <w:tcPr>
            <w:tcW w:w="520" w:type="dxa"/>
            <w:vAlign w:val="bottom"/>
            <w:gridSpan w:val="2"/>
          </w:tcPr>
          <w:p>
            <w:pPr>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No.</w:t>
            </w:r>
          </w:p>
        </w:tc>
        <w:tc>
          <w:tcPr>
            <w:tcW w:w="98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Filing Date</w:t>
            </w:r>
          </w:p>
        </w:tc>
        <w:tc>
          <w:tcPr>
            <w:tcW w:w="8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4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89"/>
        </w:trPr>
        <w:tc>
          <w:tcPr>
            <w:tcW w:w="42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92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2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3.1</w:t>
            </w:r>
          </w:p>
        </w:tc>
        <w:tc>
          <w:tcPr>
            <w:tcW w:w="3600" w:type="dxa"/>
            <w:vAlign w:val="bottom"/>
            <w:gridSpan w:val="26"/>
          </w:tcPr>
          <w:p>
            <w:pPr>
              <w:spacing w:after="0" w:line="186" w:lineRule="exact"/>
              <w:rPr>
                <w:rFonts w:ascii="Times New Roman" w:cs="Times New Roman" w:eastAsia="Times New Roman" w:hAnsi="Times New Roman"/>
                <w:sz w:val="12"/>
                <w:szCs w:val="12"/>
                <w:color w:val="0000EE"/>
              </w:rPr>
            </w:pPr>
            <w:hyperlink r:id="rId70"/>
            <w:r>
              <w:rPr>
                <w:rFonts w:ascii="Times New Roman" w:cs="Times New Roman" w:eastAsia="Times New Roman" w:hAnsi="Times New Roman"/>
                <w:sz w:val="21"/>
                <w:szCs w:val="21"/>
                <w:color w:val="000000"/>
                <w:vertAlign w:val="superscript"/>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21"/>
                <w:szCs w:val="21"/>
                <w:color w:val="000000"/>
                <w:vertAlign w:val="superscript"/>
              </w:rPr>
              <w:t>​</w:t>
            </w:r>
            <w:r>
              <w:rPr>
                <w:rFonts w:ascii="Times New Roman" w:cs="Times New Roman" w:eastAsia="Times New Roman" w:hAnsi="Times New Roman"/>
                <w:sz w:val="12"/>
                <w:szCs w:val="12"/>
                <w:color w:val="0000EE"/>
              </w:rPr>
              <w:t xml:space="preserve"> </w:t>
            </w:r>
            <w:hyperlink r:id="rId70">
              <w:r>
                <w:rPr>
                  <w:rFonts w:ascii="Times New Roman" w:cs="Times New Roman" w:eastAsia="Times New Roman" w:hAnsi="Times New Roman"/>
                  <w:sz w:val="12"/>
                  <w:szCs w:val="12"/>
                  <w:color w:val="0000EE"/>
                </w:rPr>
                <w:t xml:space="preserve">Fourth Amended and Restated Memorandum of </w:t>
              </w:r>
            </w:hyperlink>
            <w:r>
              <w:rPr>
                <w:rFonts w:ascii="Times New Roman" w:cs="Times New Roman" w:eastAsia="Times New Roman" w:hAnsi="Times New Roman"/>
                <w:sz w:val="21"/>
                <w:szCs w:val="21"/>
                <w:color w:val="000000"/>
                <w:vertAlign w:val="superscript"/>
              </w:rPr>
              <w:t>​​</w:t>
            </w:r>
            <w:r>
              <w:rPr>
                <w:rFonts w:ascii="Times New Roman" w:cs="Times New Roman" w:eastAsia="Times New Roman" w:hAnsi="Times New Roman"/>
                <w:sz w:val="12"/>
                <w:szCs w:val="12"/>
                <w:color w:val="000000"/>
              </w:rPr>
              <w:t>F-1</w:t>
            </w:r>
          </w:p>
        </w:tc>
        <w:tc>
          <w:tcPr>
            <w:tcW w:w="860" w:type="dxa"/>
            <w:vAlign w:val="bottom"/>
            <w:gridSpan w:val="2"/>
          </w:tcPr>
          <w:p>
            <w:pPr>
              <w:spacing w:after="0" w:line="186"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333-286081</w:t>
            </w:r>
          </w:p>
        </w:tc>
        <w:tc>
          <w:tcPr>
            <w:tcW w:w="520" w:type="dxa"/>
            <w:vAlign w:val="bottom"/>
            <w:gridSpan w:val="2"/>
          </w:tcPr>
          <w:p>
            <w:pPr>
              <w:spacing w:after="0" w:line="186"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3.2</w:t>
            </w:r>
          </w:p>
        </w:tc>
        <w:tc>
          <w:tcPr>
            <w:tcW w:w="1100" w:type="dxa"/>
            <w:vAlign w:val="bottom"/>
            <w:gridSpan w:val="4"/>
          </w:tcPr>
          <w:p>
            <w:pPr>
              <w:spacing w:after="0" w:line="186"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xml:space="preserve">March 25, 2025 </w:t>
            </w:r>
            <w:r>
              <w:rPr>
                <w:rFonts w:ascii="Times New Roman" w:cs="Times New Roman" w:eastAsia="Times New Roman" w:hAnsi="Times New Roman"/>
                <w:sz w:val="21"/>
                <w:szCs w:val="21"/>
                <w:color w:val="auto"/>
                <w:vertAlign w:val="superscript"/>
              </w:rPr>
              <w:t>​</w:t>
            </w: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top w:val="single" w:sz="8" w:color="0000EE"/>
              <w:bottom w:val="single" w:sz="8" w:color="0000EE"/>
            </w:tcBorders>
            <w:gridSpan w:val="2"/>
          </w:tcPr>
          <w:p>
            <w:pPr>
              <w:spacing w:after="0" w:line="151" w:lineRule="exact"/>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Association</w:t>
              </w:r>
            </w:hyperlink>
          </w:p>
        </w:tc>
        <w:tc>
          <w:tcPr>
            <w:tcW w:w="2140" w:type="dxa"/>
            <w:vAlign w:val="bottom"/>
            <w:tcBorders>
              <w:top w:val="single" w:sz="8" w:color="0000EE"/>
            </w:tcBorders>
            <w:gridSpan w:val="18"/>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2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4.1</w:t>
            </w:r>
          </w:p>
        </w:tc>
        <w:tc>
          <w:tcPr>
            <w:tcW w:w="3080" w:type="dxa"/>
            <w:vAlign w:val="bottom"/>
            <w:gridSpan w:val="24"/>
          </w:tcPr>
          <w:p>
            <w:pPr>
              <w:spacing w:after="0" w:line="204" w:lineRule="exact"/>
              <w:rPr>
                <w:rFonts w:ascii="Times New Roman" w:cs="Times New Roman" w:eastAsia="Times New Roman" w:hAnsi="Times New Roman"/>
                <w:sz w:val="13"/>
                <w:szCs w:val="13"/>
                <w:color w:val="0000EE"/>
              </w:rPr>
            </w:pPr>
            <w:hyperlink r:id="rId71"/>
            <w:r>
              <w:rPr>
                <w:rFonts w:ascii="Times New Roman" w:cs="Times New Roman" w:eastAsia="Times New Roman" w:hAnsi="Times New Roman"/>
                <w:sz w:val="23"/>
                <w:szCs w:val="23"/>
                <w:color w:val="000000"/>
                <w:vertAlign w:val="superscript"/>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23"/>
                <w:szCs w:val="23"/>
                <w:color w:val="000000"/>
                <w:vertAlign w:val="superscript"/>
              </w:rPr>
              <w:t>​</w:t>
            </w:r>
            <w:r>
              <w:rPr>
                <w:rFonts w:ascii="Times New Roman" w:cs="Times New Roman" w:eastAsia="Times New Roman" w:hAnsi="Times New Roman"/>
                <w:sz w:val="13"/>
                <w:szCs w:val="13"/>
                <w:color w:val="0000EE"/>
              </w:rPr>
              <w:t xml:space="preserve"> </w:t>
            </w:r>
            <w:hyperlink r:id="rId71">
              <w:r>
                <w:rPr>
                  <w:rFonts w:ascii="Times New Roman" w:cs="Times New Roman" w:eastAsia="Times New Roman" w:hAnsi="Times New Roman"/>
                  <w:sz w:val="13"/>
                  <w:szCs w:val="13"/>
                  <w:color w:val="0000EE"/>
                </w:rPr>
                <w:t>Registrant’s Specimen Certificate for Class A</w:t>
              </w:r>
            </w:hyperlink>
          </w:p>
        </w:tc>
        <w:tc>
          <w:tcPr>
            <w:tcW w:w="520" w:type="dxa"/>
            <w:vAlign w:val="bottom"/>
            <w:gridSpan w:val="2"/>
          </w:tcPr>
          <w:p>
            <w:pPr>
              <w:spacing w:after="0" w:line="204"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F-1</w:t>
            </w:r>
          </w:p>
        </w:tc>
        <w:tc>
          <w:tcPr>
            <w:tcW w:w="860" w:type="dxa"/>
            <w:vAlign w:val="bottom"/>
            <w:gridSpan w:val="2"/>
          </w:tcPr>
          <w:p>
            <w:pPr>
              <w:spacing w:after="0" w:line="204"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333-286081</w:t>
            </w:r>
          </w:p>
        </w:tc>
        <w:tc>
          <w:tcPr>
            <w:tcW w:w="520" w:type="dxa"/>
            <w:vAlign w:val="bottom"/>
            <w:gridSpan w:val="2"/>
          </w:tcPr>
          <w:p>
            <w:pPr>
              <w:spacing w:after="0" w:line="204"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4.2</w:t>
            </w:r>
          </w:p>
        </w:tc>
        <w:tc>
          <w:tcPr>
            <w:tcW w:w="1100" w:type="dxa"/>
            <w:vAlign w:val="bottom"/>
            <w:gridSpan w:val="4"/>
          </w:tcPr>
          <w:p>
            <w:pPr>
              <w:spacing w:after="0" w:line="204"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March 25, 2025 </w:t>
            </w:r>
            <w:r>
              <w:rPr>
                <w:rFonts w:ascii="Times New Roman" w:cs="Times New Roman" w:eastAsia="Times New Roman" w:hAnsi="Times New Roman"/>
                <w:sz w:val="23"/>
                <w:szCs w:val="23"/>
                <w:color w:val="auto"/>
                <w:vertAlign w:val="superscript"/>
              </w:rPr>
              <w:t>​</w:t>
            </w: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0000EE"/>
              <w:bottom w:val="single" w:sz="8" w:color="0000EE"/>
            </w:tcBorders>
            <w:gridSpan w:val="4"/>
          </w:tcPr>
          <w:p>
            <w:pPr>
              <w:spacing w:after="0" w:line="151" w:lineRule="exact"/>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ordinary shares</w:t>
              </w:r>
            </w:hyperlink>
          </w:p>
        </w:tc>
        <w:tc>
          <w:tcPr>
            <w:tcW w:w="1820" w:type="dxa"/>
            <w:vAlign w:val="bottom"/>
            <w:tcBorders>
              <w:top w:val="single" w:sz="8" w:color="0000EE"/>
            </w:tcBorders>
            <w:gridSpan w:val="13"/>
          </w:tcPr>
          <w:p>
            <w:pPr>
              <w:spacing w:after="0"/>
              <w:rPr>
                <w:sz w:val="13"/>
                <w:szCs w:val="13"/>
                <w:color w:val="auto"/>
              </w:rPr>
            </w:pPr>
          </w:p>
        </w:tc>
        <w:tc>
          <w:tcPr>
            <w:tcW w:w="180" w:type="dxa"/>
            <w:vAlign w:val="bottom"/>
            <w:gridSpan w:val="5"/>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2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4.2</w:t>
            </w:r>
          </w:p>
        </w:tc>
        <w:tc>
          <w:tcPr>
            <w:tcW w:w="3080" w:type="dxa"/>
            <w:vAlign w:val="bottom"/>
            <w:gridSpan w:val="24"/>
          </w:tcPr>
          <w:p>
            <w:pPr>
              <w:spacing w:after="0" w:line="204" w:lineRule="exact"/>
              <w:rPr>
                <w:rFonts w:ascii="Times New Roman" w:cs="Times New Roman" w:eastAsia="Times New Roman" w:hAnsi="Times New Roman"/>
                <w:sz w:val="13"/>
                <w:szCs w:val="13"/>
                <w:color w:val="0000EE"/>
              </w:rPr>
            </w:pPr>
            <w:hyperlink r:id="rId72"/>
            <w:r>
              <w:rPr>
                <w:rFonts w:ascii="Times New Roman" w:cs="Times New Roman" w:eastAsia="Times New Roman" w:hAnsi="Times New Roman"/>
                <w:sz w:val="23"/>
                <w:szCs w:val="23"/>
                <w:color w:val="000000"/>
                <w:vertAlign w:val="superscript"/>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23"/>
                <w:szCs w:val="23"/>
                <w:color w:val="000000"/>
                <w:vertAlign w:val="superscript"/>
              </w:rPr>
              <w:t>​</w:t>
            </w:r>
            <w:r>
              <w:rPr>
                <w:rFonts w:ascii="Times New Roman" w:cs="Times New Roman" w:eastAsia="Times New Roman" w:hAnsi="Times New Roman"/>
                <w:sz w:val="13"/>
                <w:szCs w:val="13"/>
                <w:color w:val="0000EE"/>
              </w:rPr>
              <w:t xml:space="preserve"> </w:t>
            </w:r>
            <w:hyperlink r:id="rId72">
              <w:r>
                <w:rPr>
                  <w:rFonts w:ascii="Times New Roman" w:cs="Times New Roman" w:eastAsia="Times New Roman" w:hAnsi="Times New Roman"/>
                  <w:sz w:val="13"/>
                  <w:szCs w:val="13"/>
                  <w:color w:val="0000EE"/>
                </w:rPr>
                <w:t>Deposit Agreement among the Registrant, the</w:t>
              </w:r>
            </w:hyperlink>
          </w:p>
        </w:tc>
        <w:tc>
          <w:tcPr>
            <w:tcW w:w="520" w:type="dxa"/>
            <w:vAlign w:val="bottom"/>
            <w:gridSpan w:val="2"/>
          </w:tcPr>
          <w:p>
            <w:pPr>
              <w:spacing w:after="0" w:line="204"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S-8</w:t>
            </w:r>
          </w:p>
        </w:tc>
        <w:tc>
          <w:tcPr>
            <w:tcW w:w="860" w:type="dxa"/>
            <w:vAlign w:val="bottom"/>
            <w:gridSpan w:val="2"/>
          </w:tcPr>
          <w:p>
            <w:pPr>
              <w:spacing w:after="0" w:line="204"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333- 287340</w:t>
            </w:r>
          </w:p>
        </w:tc>
        <w:tc>
          <w:tcPr>
            <w:tcW w:w="520" w:type="dxa"/>
            <w:vAlign w:val="bottom"/>
            <w:gridSpan w:val="2"/>
          </w:tcPr>
          <w:p>
            <w:pPr>
              <w:spacing w:after="0" w:line="204"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4.3</w:t>
            </w:r>
          </w:p>
        </w:tc>
        <w:tc>
          <w:tcPr>
            <w:tcW w:w="980" w:type="dxa"/>
            <w:vAlign w:val="bottom"/>
            <w:gridSpan w:val="2"/>
          </w:tcPr>
          <w:p>
            <w:pPr>
              <w:spacing w:after="0" w:line="204"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May 16, 2025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80" w:type="dxa"/>
            <w:vAlign w:val="bottom"/>
            <w:tcBorders>
              <w:bottom w:val="single" w:sz="8" w:color="0000EE"/>
            </w:tcBorders>
            <w:gridSpan w:val="21"/>
          </w:tcPr>
          <w:p>
            <w:pPr>
              <w:spacing w:after="0" w:line="151" w:lineRule="exact"/>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depositary and holders and beneficial holders of</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Borders>
              <w:bottom w:val="single" w:sz="8" w:color="0000EE"/>
            </w:tcBorders>
            <w:gridSpan w:val="9"/>
          </w:tcPr>
          <w:p>
            <w:pPr>
              <w:spacing w:after="0" w:line="151" w:lineRule="exact"/>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the American Depositary Shares</w:t>
              </w:r>
            </w:hyperlink>
          </w:p>
        </w:tc>
        <w:tc>
          <w:tcPr>
            <w:tcW w:w="980" w:type="dxa"/>
            <w:vAlign w:val="bottom"/>
            <w:gridSpan w:val="13"/>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2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Registrant’s Specimen American Depositary</w:t>
              </w:r>
            </w:hyperlink>
          </w:p>
        </w:tc>
        <w:tc>
          <w:tcPr>
            <w:tcW w:w="260" w:type="dxa"/>
            <w:vAlign w:val="bottom"/>
            <w:gridSpan w:val="7"/>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tcBorders>
              <w:bottom w:val="single" w:sz="8" w:color="0000EE"/>
            </w:tcBorders>
            <w:gridSpan w:val="11"/>
          </w:tcPr>
          <w:p>
            <w:pPr>
              <w:spacing w:after="0" w:line="151" w:lineRule="exact"/>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Receipt (included in Exhibit 4.2 hereto)</w:t>
              </w:r>
            </w:hyperlink>
          </w:p>
        </w:tc>
        <w:tc>
          <w:tcPr>
            <w:tcW w:w="540" w:type="dxa"/>
            <w:vAlign w:val="bottom"/>
            <w:gridSpan w:val="11"/>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2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4.4</w:t>
            </w:r>
          </w:p>
        </w:tc>
        <w:tc>
          <w:tcPr>
            <w:tcW w:w="3080" w:type="dxa"/>
            <w:vAlign w:val="bottom"/>
            <w:gridSpan w:val="24"/>
          </w:tcPr>
          <w:p>
            <w:pPr>
              <w:spacing w:after="0" w:line="204" w:lineRule="exact"/>
              <w:rPr>
                <w:rFonts w:ascii="Times New Roman" w:cs="Times New Roman" w:eastAsia="Times New Roman" w:hAnsi="Times New Roman"/>
                <w:sz w:val="13"/>
                <w:szCs w:val="13"/>
                <w:color w:val="0000EE"/>
              </w:rPr>
            </w:pPr>
            <w:hyperlink r:id="rId73"/>
            <w:r>
              <w:rPr>
                <w:rFonts w:ascii="Times New Roman" w:cs="Times New Roman" w:eastAsia="Times New Roman" w:hAnsi="Times New Roman"/>
                <w:sz w:val="23"/>
                <w:szCs w:val="23"/>
                <w:color w:val="000000"/>
                <w:vertAlign w:val="superscript"/>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23"/>
                <w:szCs w:val="23"/>
                <w:color w:val="000000"/>
                <w:vertAlign w:val="superscript"/>
              </w:rPr>
              <w:t>​</w:t>
            </w:r>
            <w:r>
              <w:rPr>
                <w:rFonts w:ascii="Times New Roman" w:cs="Times New Roman" w:eastAsia="Times New Roman" w:hAnsi="Times New Roman"/>
                <w:sz w:val="13"/>
                <w:szCs w:val="13"/>
                <w:color w:val="0000EE"/>
              </w:rPr>
              <w:t xml:space="preserve"> </w:t>
            </w:r>
            <w:hyperlink r:id="rId73">
              <w:r>
                <w:rPr>
                  <w:rFonts w:ascii="Times New Roman" w:cs="Times New Roman" w:eastAsia="Times New Roman" w:hAnsi="Times New Roman"/>
                  <w:sz w:val="13"/>
                  <w:szCs w:val="13"/>
                  <w:color w:val="0000EE"/>
                </w:rPr>
                <w:t>Shareholders Agreement by and among the</w:t>
              </w:r>
            </w:hyperlink>
          </w:p>
        </w:tc>
        <w:tc>
          <w:tcPr>
            <w:tcW w:w="520" w:type="dxa"/>
            <w:vAlign w:val="bottom"/>
            <w:gridSpan w:val="2"/>
          </w:tcPr>
          <w:p>
            <w:pPr>
              <w:spacing w:after="0" w:line="204"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F-1</w:t>
            </w:r>
          </w:p>
        </w:tc>
        <w:tc>
          <w:tcPr>
            <w:tcW w:w="860" w:type="dxa"/>
            <w:vAlign w:val="bottom"/>
            <w:gridSpan w:val="2"/>
          </w:tcPr>
          <w:p>
            <w:pPr>
              <w:spacing w:after="0" w:line="204"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333-286081</w:t>
            </w:r>
          </w:p>
        </w:tc>
        <w:tc>
          <w:tcPr>
            <w:tcW w:w="520" w:type="dxa"/>
            <w:vAlign w:val="bottom"/>
            <w:gridSpan w:val="2"/>
          </w:tcPr>
          <w:p>
            <w:pPr>
              <w:spacing w:after="0" w:line="204"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4.4</w:t>
            </w:r>
          </w:p>
        </w:tc>
        <w:tc>
          <w:tcPr>
            <w:tcW w:w="1100" w:type="dxa"/>
            <w:vAlign w:val="bottom"/>
            <w:gridSpan w:val="4"/>
          </w:tcPr>
          <w:p>
            <w:pPr>
              <w:spacing w:after="0" w:line="204"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March 25, 2025 </w:t>
            </w:r>
            <w:r>
              <w:rPr>
                <w:rFonts w:ascii="Times New Roman" w:cs="Times New Roman" w:eastAsia="Times New Roman" w:hAnsi="Times New Roman"/>
                <w:sz w:val="23"/>
                <w:szCs w:val="23"/>
                <w:color w:val="auto"/>
                <w:vertAlign w:val="superscript"/>
              </w:rPr>
              <w:t>​</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tcBorders>
              <w:bottom w:val="single" w:sz="8" w:color="0000EE"/>
            </w:tcBorders>
            <w:gridSpan w:val="22"/>
          </w:tcPr>
          <w:p>
            <w:pPr>
              <w:spacing w:after="0" w:line="151"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Registrant and other parties named therein dated</w:t>
              </w:r>
            </w:hyperlink>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bottom w:val="single" w:sz="8" w:color="0000EE"/>
            </w:tcBorders>
            <w:gridSpan w:val="3"/>
          </w:tcPr>
          <w:p>
            <w:pPr>
              <w:spacing w:after="0" w:line="151"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July 20, 2023</w:t>
              </w:r>
            </w:hyperlink>
          </w:p>
        </w:tc>
        <w:tc>
          <w:tcPr>
            <w:tcW w:w="2100" w:type="dxa"/>
            <w:vAlign w:val="bottom"/>
            <w:gridSpan w:val="19"/>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3"/>
                <w:szCs w:val="13"/>
                <w:color w:val="auto"/>
              </w:rPr>
              <w:t>5.1**</w:t>
            </w:r>
            <w:r>
              <w:rPr>
                <w:rFonts w:ascii="Times New Roman" w:cs="Times New Roman" w:eastAsia="Times New Roman" w:hAnsi="Times New Roman"/>
                <w:sz w:val="23"/>
                <w:szCs w:val="23"/>
                <w:color w:val="auto"/>
                <w:vertAlign w:val="superscript"/>
              </w:rPr>
              <w:t>​ ​</w:t>
            </w:r>
          </w:p>
        </w:tc>
        <w:tc>
          <w:tcPr>
            <w:tcW w:w="2920" w:type="dxa"/>
            <w:vAlign w:val="bottom"/>
            <w:gridSpan w:val="22"/>
          </w:tcPr>
          <w:p>
            <w:pPr>
              <w:spacing w:after="0"/>
              <w:rPr>
                <w:sz w:val="20"/>
                <w:szCs w:val="20"/>
                <w:color w:val="auto"/>
              </w:rPr>
            </w:pPr>
            <w:r>
              <w:rPr>
                <w:rFonts w:ascii="Times New Roman" w:cs="Times New Roman" w:eastAsia="Times New Roman" w:hAnsi="Times New Roman"/>
                <w:sz w:val="14"/>
                <w:szCs w:val="14"/>
                <w:color w:val="0000EE"/>
              </w:rPr>
              <w:t>Opinion of Maples and Calder (Hong Kong)</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40" w:type="dxa"/>
            <w:vAlign w:val="bottom"/>
            <w:tcBorders>
              <w:bottom w:val="single" w:sz="8" w:color="0000EE"/>
            </w:tcBorders>
            <w:gridSpan w:val="19"/>
          </w:tcPr>
          <w:p>
            <w:pPr>
              <w:spacing w:after="0" w:line="151" w:lineRule="exact"/>
              <w:rPr>
                <w:sz w:val="20"/>
                <w:szCs w:val="20"/>
                <w:color w:val="auto"/>
              </w:rPr>
            </w:pPr>
            <w:r>
              <w:rPr>
                <w:rFonts w:ascii="Times New Roman" w:cs="Times New Roman" w:eastAsia="Times New Roman" w:hAnsi="Times New Roman"/>
                <w:sz w:val="14"/>
                <w:szCs w:val="14"/>
                <w:color w:val="0000EE"/>
              </w:rPr>
              <w:t>LLP, Cayman Islands counsel to the Registrant,</w:t>
            </w:r>
          </w:p>
        </w:tc>
        <w:tc>
          <w:tcPr>
            <w:tcW w:w="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22"/>
          </w:tcPr>
          <w:p>
            <w:pPr>
              <w:spacing w:after="0" w:line="151" w:lineRule="exact"/>
              <w:rPr>
                <w:sz w:val="20"/>
                <w:szCs w:val="20"/>
                <w:color w:val="auto"/>
              </w:rPr>
            </w:pPr>
            <w:r>
              <w:rPr>
                <w:rFonts w:ascii="Times New Roman" w:cs="Times New Roman" w:eastAsia="Times New Roman" w:hAnsi="Times New Roman"/>
                <w:sz w:val="14"/>
                <w:szCs w:val="14"/>
                <w:color w:val="0000EE"/>
              </w:rPr>
              <w:t>regarding the legality of the Class A ordinary</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Borders>
              <w:top w:val="single" w:sz="8" w:color="0000EE"/>
              <w:bottom w:val="single" w:sz="8" w:color="0000EE"/>
            </w:tcBorders>
            <w:gridSpan w:val="6"/>
          </w:tcPr>
          <w:p>
            <w:pPr>
              <w:spacing w:after="0" w:line="151" w:lineRule="exact"/>
              <w:rPr>
                <w:sz w:val="20"/>
                <w:szCs w:val="20"/>
                <w:color w:val="auto"/>
              </w:rPr>
            </w:pPr>
            <w:r>
              <w:rPr>
                <w:rFonts w:ascii="Times New Roman" w:cs="Times New Roman" w:eastAsia="Times New Roman" w:hAnsi="Times New Roman"/>
                <w:sz w:val="14"/>
                <w:szCs w:val="14"/>
                <w:color w:val="0000EE"/>
              </w:rPr>
              <w:t>shares being registered</w:t>
            </w:r>
          </w:p>
        </w:tc>
        <w:tc>
          <w:tcPr>
            <w:tcW w:w="1320" w:type="dxa"/>
            <w:vAlign w:val="bottom"/>
            <w:tcBorders>
              <w:top w:val="single" w:sz="8" w:color="0000EE"/>
            </w:tcBorders>
            <w:gridSpan w:val="10"/>
          </w:tcPr>
          <w:p>
            <w:pPr>
              <w:spacing w:after="0"/>
              <w:rPr>
                <w:sz w:val="13"/>
                <w:szCs w:val="13"/>
                <w:color w:val="auto"/>
              </w:rPr>
            </w:pPr>
          </w:p>
        </w:tc>
        <w:tc>
          <w:tcPr>
            <w:tcW w:w="220" w:type="dxa"/>
            <w:vAlign w:val="bottom"/>
            <w:gridSpan w:val="6"/>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2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8.1*</w:t>
            </w:r>
          </w:p>
        </w:tc>
        <w:tc>
          <w:tcPr>
            <w:tcW w:w="3080" w:type="dxa"/>
            <w:vAlign w:val="bottom"/>
            <w:gridSpan w:val="24"/>
          </w:tcPr>
          <w:p>
            <w:pPr>
              <w:spacing w:after="0" w:line="221"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Opinion of Maples and Calder (Hong Kong)</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LLP regarding certain Cayman Islands tax</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matters</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0" w:type="dxa"/>
            <w:vAlign w:val="bottom"/>
            <w:gridSpan w:val="3"/>
          </w:tcPr>
          <w:p>
            <w:pPr>
              <w:jc w:val="right"/>
              <w:spacing w:after="0" w:line="192" w:lineRule="exact"/>
              <w:rPr>
                <w:sz w:val="20"/>
                <w:szCs w:val="20"/>
                <w:color w:val="auto"/>
              </w:rPr>
            </w:pPr>
            <w:r>
              <w:rPr>
                <w:rFonts w:ascii="Times New Roman" w:cs="Times New Roman" w:eastAsia="Times New Roman" w:hAnsi="Times New Roman"/>
                <w:sz w:val="12"/>
                <w:szCs w:val="12"/>
                <w:color w:val="auto"/>
              </w:rPr>
              <w:t>8.2**</w:t>
            </w:r>
            <w:r>
              <w:rPr>
                <w:rFonts w:ascii="Times New Roman" w:cs="Times New Roman" w:eastAsia="Times New Roman" w:hAnsi="Times New Roman"/>
                <w:sz w:val="22"/>
                <w:szCs w:val="22"/>
                <w:color w:val="auto"/>
                <w:vertAlign w:val="superscript"/>
              </w:rPr>
              <w:t>​ ​</w:t>
            </w:r>
          </w:p>
        </w:tc>
        <w:tc>
          <w:tcPr>
            <w:tcW w:w="27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4"/>
                <w:szCs w:val="14"/>
                <w:color w:val="0000EE"/>
              </w:rPr>
              <w:t>Opinion of Fangda Partners regarding certain</w:t>
            </w:r>
          </w:p>
        </w:tc>
        <w:tc>
          <w:tcPr>
            <w:tcW w:w="180" w:type="dxa"/>
            <w:vAlign w:val="bottom"/>
            <w:gridSpan w:val="5"/>
          </w:tcPr>
          <w:p>
            <w:pPr>
              <w:spacing w:after="0"/>
              <w:rPr>
                <w:sz w:val="16"/>
                <w:szCs w:val="16"/>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0000EE"/>
            </w:tcBorders>
            <w:gridSpan w:val="5"/>
          </w:tcPr>
          <w:p>
            <w:pPr>
              <w:spacing w:after="0" w:line="151" w:lineRule="exact"/>
              <w:rPr>
                <w:sz w:val="20"/>
                <w:szCs w:val="20"/>
                <w:color w:val="auto"/>
              </w:rPr>
            </w:pPr>
            <w:r>
              <w:rPr>
                <w:rFonts w:ascii="Times New Roman" w:cs="Times New Roman" w:eastAsia="Times New Roman" w:hAnsi="Times New Roman"/>
                <w:sz w:val="14"/>
                <w:szCs w:val="14"/>
                <w:color w:val="0000EE"/>
              </w:rPr>
              <w:t>PRC law matters</w:t>
            </w:r>
          </w:p>
        </w:tc>
        <w:tc>
          <w:tcPr>
            <w:tcW w:w="1900" w:type="dxa"/>
            <w:vAlign w:val="bottom"/>
            <w:gridSpan w:val="17"/>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3"/>
                <w:szCs w:val="13"/>
                <w:color w:val="auto"/>
              </w:rPr>
              <w:t>23.1**</w:t>
            </w:r>
            <w:r>
              <w:rPr>
                <w:rFonts w:ascii="Times New Roman" w:cs="Times New Roman" w:eastAsia="Times New Roman" w:hAnsi="Times New Roman"/>
                <w:sz w:val="23"/>
                <w:szCs w:val="23"/>
                <w:color w:val="auto"/>
                <w:vertAlign w:val="superscript"/>
              </w:rPr>
              <w:t>​ ​</w:t>
            </w:r>
          </w:p>
        </w:tc>
        <w:tc>
          <w:tcPr>
            <w:tcW w:w="27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4"/>
                <w:szCs w:val="14"/>
                <w:color w:val="0000EE"/>
              </w:rPr>
              <w:t>Consent of KPMG Huazhen LLP, Independent</w:t>
            </w:r>
          </w:p>
        </w:tc>
        <w:tc>
          <w:tcPr>
            <w:tcW w:w="140" w:type="dxa"/>
            <w:vAlign w:val="bottom"/>
            <w:gridSpan w:val="4"/>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tcBorders>
              <w:bottom w:val="single" w:sz="8" w:color="0000EE"/>
            </w:tcBorders>
            <w:gridSpan w:val="10"/>
          </w:tcPr>
          <w:p>
            <w:pPr>
              <w:spacing w:after="0" w:line="151" w:lineRule="exact"/>
              <w:rPr>
                <w:sz w:val="20"/>
                <w:szCs w:val="20"/>
                <w:color w:val="auto"/>
              </w:rPr>
            </w:pPr>
            <w:r>
              <w:rPr>
                <w:rFonts w:ascii="Times New Roman" w:cs="Times New Roman" w:eastAsia="Times New Roman" w:hAnsi="Times New Roman"/>
                <w:sz w:val="14"/>
                <w:szCs w:val="14"/>
                <w:color w:val="0000EE"/>
              </w:rPr>
              <w:t>Registered Public Accounting Firm</w:t>
            </w:r>
          </w:p>
        </w:tc>
        <w:tc>
          <w:tcPr>
            <w:tcW w:w="800" w:type="dxa"/>
            <w:vAlign w:val="bottom"/>
            <w:gridSpan w:val="12"/>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3"/>
                <w:szCs w:val="13"/>
                <w:color w:val="auto"/>
              </w:rPr>
              <w:t>23.2**</w:t>
            </w:r>
            <w:r>
              <w:rPr>
                <w:rFonts w:ascii="Times New Roman" w:cs="Times New Roman" w:eastAsia="Times New Roman" w:hAnsi="Times New Roman"/>
                <w:sz w:val="23"/>
                <w:szCs w:val="23"/>
                <w:color w:val="auto"/>
                <w:vertAlign w:val="superscript"/>
              </w:rPr>
              <w:t>​ ​</w:t>
            </w:r>
          </w:p>
        </w:tc>
        <w:tc>
          <w:tcPr>
            <w:tcW w:w="2920" w:type="dxa"/>
            <w:vAlign w:val="bottom"/>
            <w:gridSpan w:val="22"/>
          </w:tcPr>
          <w:p>
            <w:pPr>
              <w:spacing w:after="0"/>
              <w:rPr>
                <w:sz w:val="20"/>
                <w:szCs w:val="20"/>
                <w:color w:val="auto"/>
              </w:rPr>
            </w:pPr>
            <w:r>
              <w:rPr>
                <w:rFonts w:ascii="Times New Roman" w:cs="Times New Roman" w:eastAsia="Times New Roman" w:hAnsi="Times New Roman"/>
                <w:sz w:val="14"/>
                <w:szCs w:val="14"/>
                <w:color w:val="0000EE"/>
              </w:rPr>
              <w:t>Consent of Maples and Calder (Hong Kong)</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Borders>
              <w:top w:val="single" w:sz="8" w:color="0000EE"/>
              <w:bottom w:val="single" w:sz="8" w:color="0000EE"/>
            </w:tcBorders>
            <w:gridSpan w:val="7"/>
          </w:tcPr>
          <w:p>
            <w:pPr>
              <w:spacing w:after="0" w:line="151" w:lineRule="exact"/>
              <w:rPr>
                <w:sz w:val="20"/>
                <w:szCs w:val="20"/>
                <w:color w:val="auto"/>
              </w:rPr>
            </w:pPr>
            <w:r>
              <w:rPr>
                <w:rFonts w:ascii="Times New Roman" w:cs="Times New Roman" w:eastAsia="Times New Roman" w:hAnsi="Times New Roman"/>
                <w:sz w:val="14"/>
                <w:szCs w:val="14"/>
                <w:color w:val="0000EE"/>
              </w:rPr>
              <w:t>LLP (included in Exhibit 5.1)</w:t>
            </w:r>
          </w:p>
        </w:tc>
        <w:tc>
          <w:tcPr>
            <w:tcW w:w="860" w:type="dxa"/>
            <w:vAlign w:val="bottom"/>
            <w:tcBorders>
              <w:top w:val="single" w:sz="8" w:color="0000EE"/>
            </w:tcBorders>
            <w:gridSpan w:val="7"/>
          </w:tcPr>
          <w:p>
            <w:pPr>
              <w:spacing w:after="0"/>
              <w:rPr>
                <w:sz w:val="13"/>
                <w:szCs w:val="13"/>
                <w:color w:val="auto"/>
              </w:rPr>
            </w:pPr>
          </w:p>
        </w:tc>
        <w:tc>
          <w:tcPr>
            <w:tcW w:w="280" w:type="dxa"/>
            <w:vAlign w:val="bottom"/>
            <w:gridSpan w:val="8"/>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3"/>
                <w:szCs w:val="13"/>
                <w:color w:val="auto"/>
              </w:rPr>
              <w:t>23.3**</w:t>
            </w:r>
            <w:r>
              <w:rPr>
                <w:rFonts w:ascii="Times New Roman" w:cs="Times New Roman" w:eastAsia="Times New Roman" w:hAnsi="Times New Roman"/>
                <w:sz w:val="23"/>
                <w:szCs w:val="23"/>
                <w:color w:val="auto"/>
                <w:vertAlign w:val="superscript"/>
              </w:rPr>
              <w:t>​ ​</w:t>
            </w:r>
          </w:p>
        </w:tc>
        <w:tc>
          <w:tcPr>
            <w:tcW w:w="24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EE"/>
              </w:rPr>
              <w:t>Consent of Fangda Partners (included in</w:t>
            </w:r>
          </w:p>
        </w:tc>
        <w:tc>
          <w:tcPr>
            <w:tcW w:w="500" w:type="dxa"/>
            <w:vAlign w:val="bottom"/>
            <w:gridSpan w:val="10"/>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0000EE"/>
            </w:tcBorders>
            <w:gridSpan w:val="2"/>
          </w:tcPr>
          <w:p>
            <w:pPr>
              <w:spacing w:after="0" w:line="151" w:lineRule="exact"/>
              <w:rPr>
                <w:sz w:val="20"/>
                <w:szCs w:val="20"/>
                <w:color w:val="auto"/>
              </w:rPr>
            </w:pPr>
            <w:r>
              <w:rPr>
                <w:rFonts w:ascii="Times New Roman" w:cs="Times New Roman" w:eastAsia="Times New Roman" w:hAnsi="Times New Roman"/>
                <w:sz w:val="14"/>
                <w:szCs w:val="14"/>
                <w:color w:val="0000EE"/>
              </w:rPr>
              <w:t>Exhibit 8.2)</w:t>
            </w:r>
          </w:p>
        </w:tc>
        <w:tc>
          <w:tcPr>
            <w:tcW w:w="2200" w:type="dxa"/>
            <w:vAlign w:val="bottom"/>
            <w:gridSpan w:val="20"/>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80" w:type="dxa"/>
            <w:vAlign w:val="bottom"/>
            <w:gridSpan w:val="3"/>
          </w:tcPr>
          <w:p>
            <w:pPr>
              <w:jc w:val="right"/>
              <w:spacing w:after="0" w:line="214" w:lineRule="exact"/>
              <w:rPr>
                <w:sz w:val="20"/>
                <w:szCs w:val="20"/>
                <w:color w:val="auto"/>
              </w:rPr>
            </w:pPr>
            <w:r>
              <w:rPr>
                <w:rFonts w:ascii="Times New Roman" w:cs="Times New Roman" w:eastAsia="Times New Roman" w:hAnsi="Times New Roman"/>
                <w:sz w:val="13"/>
                <w:szCs w:val="13"/>
                <w:color w:val="auto"/>
              </w:rPr>
              <w:t>24.1**</w:t>
            </w:r>
            <w:r>
              <w:rPr>
                <w:rFonts w:ascii="Times New Roman" w:cs="Times New Roman" w:eastAsia="Times New Roman" w:hAnsi="Times New Roman"/>
                <w:sz w:val="24"/>
                <w:szCs w:val="24"/>
                <w:color w:val="auto"/>
                <w:vertAlign w:val="superscript"/>
              </w:rPr>
              <w:t>​ ​</w:t>
            </w:r>
          </w:p>
        </w:tc>
        <w:tc>
          <w:tcPr>
            <w:tcW w:w="3440" w:type="dxa"/>
            <w:vAlign w:val="bottom"/>
            <w:gridSpan w:val="24"/>
          </w:tcPr>
          <w:p>
            <w:pPr>
              <w:spacing w:after="0" w:line="214" w:lineRule="exact"/>
              <w:rPr>
                <w:sz w:val="20"/>
                <w:szCs w:val="20"/>
                <w:color w:val="auto"/>
              </w:rPr>
            </w:pPr>
            <w:r>
              <w:rPr>
                <w:rFonts w:ascii="Times New Roman" w:cs="Times New Roman" w:eastAsia="Times New Roman" w:hAnsi="Times New Roman"/>
                <w:sz w:val="13"/>
                <w:szCs w:val="13"/>
                <w:color w:val="0000EE"/>
              </w:rPr>
              <w:t xml:space="preserve">Power of Attorney (included on signature page) </w:t>
            </w:r>
            <w:r>
              <w:rPr>
                <w:rFonts w:ascii="Times New Roman" w:cs="Times New Roman" w:eastAsia="Times New Roman" w:hAnsi="Times New Roman"/>
                <w:sz w:val="24"/>
                <w:szCs w:val="24"/>
                <w:color w:val="000000"/>
                <w:vertAlign w:val="superscript"/>
              </w:rPr>
              <w:t>​​​</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188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Calculation of Filing Fee Table</w:t>
            </w:r>
          </w:p>
        </w:tc>
        <w:tc>
          <w:tcPr>
            <w:tcW w:w="980" w:type="dxa"/>
            <w:vAlign w:val="bottom"/>
            <w:tcBorders>
              <w:top w:val="single" w:sz="8" w:color="0000EE"/>
            </w:tcBorders>
            <w:gridSpan w:val="12"/>
          </w:tcPr>
          <w:p>
            <w:pPr>
              <w:spacing w:after="0"/>
              <w:rPr>
                <w:sz w:val="17"/>
                <w:szCs w:val="17"/>
                <w:color w:val="auto"/>
              </w:rPr>
            </w:pPr>
          </w:p>
        </w:tc>
        <w:tc>
          <w:tcPr>
            <w:tcW w:w="60" w:type="dxa"/>
            <w:vAlign w:val="bottom"/>
            <w:gridSpan w:val="2"/>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920" w:type="dxa"/>
            <w:vAlign w:val="bottom"/>
            <w:gridSpan w:val="2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147955</wp:posOffset>
            </wp:positionV>
            <wp:extent cx="97536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975360" cy="6985"/>
                    </a:xfrm>
                    <a:prstGeom prst="rect">
                      <a:avLst/>
                    </a:prstGeom>
                    <a:noFill/>
                  </pic:spPr>
                </pic:pic>
              </a:graphicData>
            </a:graphic>
          </wp:anchor>
        </w:drawing>
      </w:r>
    </w:p>
    <w:p>
      <w:pPr>
        <w:spacing w:after="0" w:line="315" w:lineRule="exact"/>
        <w:rPr>
          <w:sz w:val="20"/>
          <w:szCs w:val="20"/>
          <w:color w:val="auto"/>
        </w:rPr>
      </w:pPr>
    </w:p>
    <w:p>
      <w:pPr>
        <w:ind w:left="1540" w:right="1439" w:hanging="279"/>
        <w:spacing w:after="0" w:line="289" w:lineRule="auto"/>
        <w:tabs>
          <w:tab w:leader="none" w:pos="1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subsequently filed, if applicable, by an amendment to this registration statement or by a Report on Form 6-K and incorporated herein by reference.</w:t>
      </w:r>
    </w:p>
    <w:p>
      <w:pPr>
        <w:spacing w:after="0" w:line="18" w:lineRule="exact"/>
        <w:rPr>
          <w:sz w:val="20"/>
          <w:szCs w:val="20"/>
          <w:color w:val="auto"/>
        </w:rPr>
      </w:pPr>
    </w:p>
    <w:p>
      <w:pPr>
        <w:ind w:left="1260"/>
        <w:spacing w:after="0"/>
        <w:tabs>
          <w:tab w:leader="none" w:pos="152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9" w:name="page40"/>
    <w:bookmarkEnd w:id="39"/>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9" w:lineRule="exact"/>
        <w:rPr>
          <w:sz w:val="20"/>
          <w:szCs w:val="20"/>
          <w:color w:val="auto"/>
        </w:rPr>
      </w:pPr>
    </w:p>
    <w:p>
      <w:pPr>
        <w:ind w:left="1260" w:right="1319" w:firstLine="284"/>
        <w:spacing w:after="0" w:line="26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Shanghai, China on June 5, 2026.</w:t>
      </w:r>
    </w:p>
    <w:p>
      <w:pPr>
        <w:spacing w:after="0" w:line="13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Chagee Holdings Limited</w:t>
      </w:r>
    </w:p>
    <w:p>
      <w:pPr>
        <w:spacing w:after="0" w:line="35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By: /s/ Junjie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42545</wp:posOffset>
            </wp:positionV>
            <wp:extent cx="177482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1774825" cy="6985"/>
                    </a:xfrm>
                    <a:prstGeom prst="rect">
                      <a:avLst/>
                    </a:prstGeom>
                    <a:noFill/>
                  </pic:spPr>
                </pic:pic>
              </a:graphicData>
            </a:graphic>
          </wp:anchor>
        </w:drawing>
      </w:r>
    </w:p>
    <w:p>
      <w:pPr>
        <w:spacing w:after="0" w:line="6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4"/>
          <w:szCs w:val="14"/>
          <w:color w:val="auto"/>
        </w:rPr>
        <w:t>Name:  Junjie Zhang</w:t>
      </w:r>
    </w:p>
    <w:p>
      <w:pPr>
        <w:spacing w:after="0" w:line="24" w:lineRule="exact"/>
        <w:rPr>
          <w:sz w:val="20"/>
          <w:szCs w:val="20"/>
          <w:color w:val="auto"/>
        </w:rPr>
      </w:pPr>
    </w:p>
    <w:p>
      <w:pPr>
        <w:ind w:left="4960"/>
        <w:spacing w:after="0"/>
        <w:tabs>
          <w:tab w:leader="none" w:pos="5400" w:val="left"/>
        </w:tabs>
        <w:rPr>
          <w:sz w:val="20"/>
          <w:szCs w:val="20"/>
          <w:color w:val="auto"/>
        </w:rPr>
      </w:pPr>
      <w:r>
        <w:rPr>
          <w:rFonts w:ascii="Times New Roman" w:cs="Times New Roman" w:eastAsia="Times New Roman" w:hAnsi="Times New Roman"/>
          <w:sz w:val="14"/>
          <w:szCs w:val="14"/>
          <w:color w:val="auto"/>
        </w:rPr>
        <w:t>Title:</w:t>
        <w:tab/>
        <w:t>Chairman of the Board</w:t>
      </w:r>
    </w:p>
    <w:p>
      <w:pPr>
        <w:spacing w:after="0" w:line="1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0" w:name="page41"/>
    <w:bookmarkEnd w:id="40"/>
    <w:p>
      <w:pPr>
        <w:ind w:left="2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9" w:lineRule="exact"/>
        <w:rPr>
          <w:sz w:val="20"/>
          <w:szCs w:val="20"/>
          <w:color w:val="auto"/>
        </w:rPr>
      </w:pPr>
    </w:p>
    <w:p>
      <w:pPr>
        <w:ind w:left="1260" w:right="1279" w:firstLine="284"/>
        <w:spacing w:after="0" w:line="258"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Junjie Zhang, as his true and lawful attorney-in-fact, with the power of substitution, for such person and in such person’s name, place and stead, in any and all capacities, to sign any or all amendments (including post-effective amendments) to this registration statement and any and all related registration statements pursuant to Rule 462(b) of the Securities Act, and to file the same, with all exhibits thereto, and other documents in connection therewith, with the Securities Exchange Commission, granting unto the said attorney-in-fact full power and authority to do and perform each and every act and thing requisite and necessary to be done as fully to all intents and purposes as he might or could do in person, hereby ratifying and confirming all that said attorney-in-fact may lawfully do or cause to be done by virtue hereof.</w:t>
      </w:r>
    </w:p>
    <w:p>
      <w:pPr>
        <w:spacing w:after="0" w:line="267" w:lineRule="exact"/>
        <w:rPr>
          <w:sz w:val="20"/>
          <w:szCs w:val="20"/>
          <w:color w:val="auto"/>
        </w:rPr>
      </w:pPr>
    </w:p>
    <w:p>
      <w:pPr>
        <w:ind w:left="1260" w:right="1499" w:firstLine="284"/>
        <w:spacing w:after="0" w:line="289" w:lineRule="auto"/>
        <w:rPr>
          <w:sz w:val="20"/>
          <w:szCs w:val="20"/>
          <w:color w:val="auto"/>
        </w:rPr>
      </w:pPr>
      <w:r>
        <w:rPr>
          <w:rFonts w:ascii="Times New Roman" w:cs="Times New Roman" w:eastAsia="Times New Roman" w:hAnsi="Times New Roman"/>
          <w:sz w:val="14"/>
          <w:szCs w:val="14"/>
          <w:color w:val="auto"/>
        </w:rPr>
        <w:t>Pursuant to the requirements of the Securities Act, this registration statement has been signed by the following persons in the capacities and on the dates indicated.</w:t>
      </w:r>
    </w:p>
    <w:p>
      <w:pPr>
        <w:spacing w:after="0" w:line="98"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4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000" w:type="dxa"/>
            <w:vAlign w:val="bottom"/>
            <w:gridSpan w:val="2"/>
          </w:tcPr>
          <w:p>
            <w:pPr>
              <w:ind w:left="46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2480" w:type="dxa"/>
            <w:vAlign w:val="bottom"/>
            <w:gridSpan w:val="2"/>
          </w:tcPr>
          <w:p>
            <w:pPr>
              <w:ind w:left="10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560" w:type="dxa"/>
            <w:vAlign w:val="bottom"/>
            <w:gridSpan w:val="2"/>
          </w:tcPr>
          <w:p>
            <w:pPr>
              <w:ind w:left="660"/>
              <w:spacing w:after="0"/>
              <w:rPr>
                <w:sz w:val="20"/>
                <w:szCs w:val="20"/>
                <w:color w:val="auto"/>
              </w:rPr>
            </w:pPr>
            <w:r>
              <w:rPr>
                <w:rFonts w:ascii="Times New Roman" w:cs="Times New Roman" w:eastAsia="Times New Roman" w:hAnsi="Times New Roman"/>
                <w:sz w:val="11"/>
                <w:szCs w:val="11"/>
                <w:b w:val="1"/>
                <w:bCs w:val="1"/>
                <w:color w:val="auto"/>
              </w:rPr>
              <w:t>Date</w:t>
            </w:r>
          </w:p>
        </w:tc>
        <w:tc>
          <w:tcPr>
            <w:tcW w:w="0" w:type="dxa"/>
            <w:vAlign w:val="bottom"/>
          </w:tcPr>
          <w:p>
            <w:pPr>
              <w:spacing w:after="0"/>
              <w:rPr>
                <w:sz w:val="1"/>
                <w:szCs w:val="1"/>
                <w:color w:val="auto"/>
              </w:rPr>
            </w:pPr>
          </w:p>
        </w:tc>
      </w:tr>
      <w:tr>
        <w:trPr>
          <w:trHeight w:val="139"/>
        </w:trPr>
        <w:tc>
          <w:tcPr>
            <w:tcW w:w="480" w:type="dxa"/>
            <w:vAlign w:val="bottom"/>
            <w:tcBorders>
              <w:bottom w:val="single" w:sz="8" w:color="auto"/>
            </w:tcBorders>
            <w:vMerge w:val="continue"/>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2320" w:type="dxa"/>
            <w:vAlign w:val="bottom"/>
            <w:tcBorders>
              <w:bottom w:val="single" w:sz="8" w:color="auto"/>
            </w:tcBorders>
          </w:tcPr>
          <w:p>
            <w:pPr>
              <w:spacing w:after="0"/>
              <w:rPr>
                <w:sz w:val="12"/>
                <w:szCs w:val="12"/>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520" w:type="dxa"/>
            <w:vAlign w:val="bottom"/>
            <w:tcBorders>
              <w:bottom w:val="single" w:sz="8" w:color="auto"/>
            </w:tcBorders>
          </w:tcPr>
          <w:p>
            <w:pPr>
              <w:spacing w:after="0"/>
              <w:rPr>
                <w:sz w:val="12"/>
                <w:szCs w:val="1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bl>
    <w:p>
      <w:pPr>
        <w:spacing w:after="0" w:line="337"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/s/ Junjie Zhang</w:t>
            </w: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14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Chairman of the Board</w:t>
            </w: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140" w:type="dxa"/>
            <w:vAlign w:val="bottom"/>
          </w:tcPr>
          <w:p>
            <w:pPr>
              <w:spacing w:after="0"/>
              <w:rPr>
                <w:sz w:val="17"/>
                <w:szCs w:val="17"/>
                <w:color w:val="auto"/>
              </w:rPr>
            </w:pPr>
          </w:p>
        </w:tc>
        <w:tc>
          <w:tcPr>
            <w:tcW w:w="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5"/>
        </w:trPr>
        <w:tc>
          <w:tcPr>
            <w:tcW w:w="2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140" w:type="dxa"/>
            <w:vAlign w:val="bottom"/>
            <w:vMerge w:val="restart"/>
          </w:tcPr>
          <w:p>
            <w:pPr>
              <w:jc w:val="center"/>
              <w:ind w:right="49"/>
              <w:spacing w:after="0" w:line="145" w:lineRule="exact"/>
              <w:rPr>
                <w:sz w:val="20"/>
                <w:szCs w:val="20"/>
                <w:color w:val="auto"/>
              </w:rPr>
            </w:pPr>
            <w:r>
              <w:rPr>
                <w:rFonts w:ascii="Times New Roman" w:cs="Times New Roman" w:eastAsia="Times New Roman" w:hAnsi="Times New Roman"/>
                <w:sz w:val="14"/>
                <w:szCs w:val="14"/>
                <w:color w:val="auto"/>
              </w:rPr>
              <w:t>Chief Executive Officer</w:t>
            </w:r>
          </w:p>
        </w:tc>
        <w:tc>
          <w:tcPr>
            <w:tcW w:w="420" w:type="dxa"/>
            <w:vAlign w:val="bottom"/>
          </w:tcPr>
          <w:p>
            <w:pPr>
              <w:spacing w:after="0"/>
              <w:rPr>
                <w:sz w:val="6"/>
                <w:szCs w:val="6"/>
                <w:color w:val="auto"/>
              </w:rPr>
            </w:pPr>
          </w:p>
        </w:tc>
        <w:tc>
          <w:tcPr>
            <w:tcW w:w="1140" w:type="dxa"/>
            <w:vAlign w:val="bottom"/>
            <w:vMerge w:val="restart"/>
          </w:tcPr>
          <w:p>
            <w:pPr>
              <w:ind w:left="180"/>
              <w:spacing w:after="0" w:line="145" w:lineRule="exact"/>
              <w:rPr>
                <w:sz w:val="20"/>
                <w:szCs w:val="20"/>
                <w:color w:val="auto"/>
              </w:rPr>
            </w:pPr>
            <w:r>
              <w:rPr>
                <w:rFonts w:ascii="Times New Roman" w:cs="Times New Roman" w:eastAsia="Times New Roman" w:hAnsi="Times New Roman"/>
                <w:sz w:val="14"/>
                <w:szCs w:val="14"/>
                <w:color w:val="auto"/>
              </w:rPr>
              <w:t>June 5, 2026</w:t>
            </w: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0" w:type="dxa"/>
            <w:vAlign w:val="bottom"/>
          </w:tcPr>
          <w:p>
            <w:pPr>
              <w:spacing w:after="0"/>
              <w:rPr>
                <w:sz w:val="4"/>
                <w:szCs w:val="4"/>
                <w:color w:val="auto"/>
              </w:rPr>
            </w:pPr>
          </w:p>
        </w:tc>
        <w:tc>
          <w:tcPr>
            <w:tcW w:w="2120" w:type="dxa"/>
            <w:vAlign w:val="bottom"/>
            <w:vMerge w:val="restart"/>
          </w:tcPr>
          <w:p>
            <w:pPr>
              <w:jc w:val="center"/>
              <w:ind w:right="129"/>
              <w:spacing w:after="0"/>
              <w:rPr>
                <w:sz w:val="20"/>
                <w:szCs w:val="20"/>
                <w:color w:val="auto"/>
              </w:rPr>
            </w:pPr>
            <w:r>
              <w:rPr>
                <w:rFonts w:ascii="Times New Roman" w:cs="Times New Roman" w:eastAsia="Times New Roman" w:hAnsi="Times New Roman"/>
                <w:sz w:val="14"/>
                <w:szCs w:val="14"/>
                <w:color w:val="auto"/>
              </w:rPr>
              <w:t>Junjie Zhang</w:t>
            </w:r>
          </w:p>
        </w:tc>
        <w:tc>
          <w:tcPr>
            <w:tcW w:w="28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/s/ Dengfeng Yin</w:t>
            </w:r>
          </w:p>
        </w:tc>
        <w:tc>
          <w:tcPr>
            <w:tcW w:w="2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  Director, Chief Operating Officer</w:t>
            </w: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1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June 5, 2026</w:t>
            </w:r>
          </w:p>
        </w:tc>
        <w:tc>
          <w:tcPr>
            <w:tcW w:w="2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8"/>
        </w:trPr>
        <w:tc>
          <w:tcPr>
            <w:tcW w:w="200" w:type="dxa"/>
            <w:vAlign w:val="bottom"/>
            <w:vMerge w:val="continue"/>
          </w:tcPr>
          <w:p>
            <w:pPr>
              <w:spacing w:after="0"/>
              <w:rPr>
                <w:sz w:val="11"/>
                <w:szCs w:val="11"/>
                <w:color w:val="auto"/>
              </w:rPr>
            </w:pPr>
          </w:p>
        </w:tc>
        <w:tc>
          <w:tcPr>
            <w:tcW w:w="2120" w:type="dxa"/>
            <w:vAlign w:val="bottom"/>
            <w:vMerge w:val="restart"/>
          </w:tcPr>
          <w:p>
            <w:pPr>
              <w:jc w:val="center"/>
              <w:ind w:right="129"/>
              <w:spacing w:after="0"/>
              <w:rPr>
                <w:sz w:val="20"/>
                <w:szCs w:val="20"/>
                <w:color w:val="auto"/>
              </w:rPr>
            </w:pPr>
            <w:r>
              <w:rPr>
                <w:rFonts w:ascii="Times New Roman" w:cs="Times New Roman" w:eastAsia="Times New Roman" w:hAnsi="Times New Roman"/>
                <w:sz w:val="14"/>
                <w:szCs w:val="14"/>
                <w:color w:val="auto"/>
              </w:rPr>
              <w:t>Dengfeng Yin</w:t>
            </w:r>
          </w:p>
        </w:tc>
        <w:tc>
          <w:tcPr>
            <w:tcW w:w="2420" w:type="dxa"/>
            <w:vAlign w:val="bottom"/>
            <w:gridSpan w:val="2"/>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/s/ Mian Lu</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14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Director, Vice President</w:t>
            </w: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1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June 5, 2026</w:t>
            </w:r>
          </w:p>
        </w:tc>
        <w:tc>
          <w:tcPr>
            <w:tcW w:w="2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8"/>
        </w:trPr>
        <w:tc>
          <w:tcPr>
            <w:tcW w:w="200" w:type="dxa"/>
            <w:vAlign w:val="bottom"/>
            <w:vMerge w:val="continue"/>
          </w:tcPr>
          <w:p>
            <w:pPr>
              <w:spacing w:after="0"/>
              <w:rPr>
                <w:sz w:val="11"/>
                <w:szCs w:val="11"/>
                <w:color w:val="auto"/>
              </w:rPr>
            </w:pPr>
          </w:p>
        </w:tc>
        <w:tc>
          <w:tcPr>
            <w:tcW w:w="2120" w:type="dxa"/>
            <w:vAlign w:val="bottom"/>
            <w:vMerge w:val="restart"/>
          </w:tcPr>
          <w:p>
            <w:pPr>
              <w:jc w:val="center"/>
              <w:ind w:right="129"/>
              <w:spacing w:after="0"/>
              <w:rPr>
                <w:sz w:val="20"/>
                <w:szCs w:val="20"/>
                <w:color w:val="auto"/>
              </w:rPr>
            </w:pPr>
            <w:r>
              <w:rPr>
                <w:rFonts w:ascii="Times New Roman" w:cs="Times New Roman" w:eastAsia="Times New Roman" w:hAnsi="Times New Roman"/>
                <w:sz w:val="14"/>
                <w:szCs w:val="14"/>
                <w:color w:val="auto"/>
              </w:rPr>
              <w:t>Mian Lu</w:t>
            </w:r>
          </w:p>
        </w:tc>
        <w:tc>
          <w:tcPr>
            <w:tcW w:w="280" w:type="dxa"/>
            <w:vAlign w:val="bottom"/>
            <w:vMerge w:val="continue"/>
          </w:tcPr>
          <w:p>
            <w:pPr>
              <w:spacing w:after="0"/>
              <w:rPr>
                <w:sz w:val="11"/>
                <w:szCs w:val="11"/>
                <w:color w:val="auto"/>
              </w:rPr>
            </w:pPr>
          </w:p>
        </w:tc>
        <w:tc>
          <w:tcPr>
            <w:tcW w:w="214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/s/ Yong Zhang</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14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Director</w:t>
            </w: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1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June 5, 2026</w:t>
            </w:r>
          </w:p>
        </w:tc>
        <w:tc>
          <w:tcPr>
            <w:tcW w:w="2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8"/>
        </w:trPr>
        <w:tc>
          <w:tcPr>
            <w:tcW w:w="200" w:type="dxa"/>
            <w:vAlign w:val="bottom"/>
            <w:vMerge w:val="continue"/>
          </w:tcPr>
          <w:p>
            <w:pPr>
              <w:spacing w:after="0"/>
              <w:rPr>
                <w:sz w:val="11"/>
                <w:szCs w:val="11"/>
                <w:color w:val="auto"/>
              </w:rPr>
            </w:pPr>
          </w:p>
        </w:tc>
        <w:tc>
          <w:tcPr>
            <w:tcW w:w="2120" w:type="dxa"/>
            <w:vAlign w:val="bottom"/>
            <w:vMerge w:val="restart"/>
          </w:tcPr>
          <w:p>
            <w:pPr>
              <w:jc w:val="center"/>
              <w:ind w:right="129"/>
              <w:spacing w:after="0"/>
              <w:rPr>
                <w:sz w:val="20"/>
                <w:szCs w:val="20"/>
                <w:color w:val="auto"/>
              </w:rPr>
            </w:pPr>
            <w:r>
              <w:rPr>
                <w:rFonts w:ascii="Times New Roman" w:cs="Times New Roman" w:eastAsia="Times New Roman" w:hAnsi="Times New Roman"/>
                <w:sz w:val="14"/>
                <w:szCs w:val="14"/>
                <w:color w:val="auto"/>
              </w:rPr>
              <w:t>Yong Zhang</w:t>
            </w:r>
          </w:p>
        </w:tc>
        <w:tc>
          <w:tcPr>
            <w:tcW w:w="280" w:type="dxa"/>
            <w:vAlign w:val="bottom"/>
            <w:vMerge w:val="continue"/>
          </w:tcPr>
          <w:p>
            <w:pPr>
              <w:spacing w:after="0"/>
              <w:rPr>
                <w:sz w:val="11"/>
                <w:szCs w:val="11"/>
                <w:color w:val="auto"/>
              </w:rPr>
            </w:pPr>
          </w:p>
        </w:tc>
        <w:tc>
          <w:tcPr>
            <w:tcW w:w="214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/s/ Yifan Li</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14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Independent Director</w:t>
            </w: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1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June 5, 2026</w:t>
            </w:r>
          </w:p>
        </w:tc>
        <w:tc>
          <w:tcPr>
            <w:tcW w:w="2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8"/>
        </w:trPr>
        <w:tc>
          <w:tcPr>
            <w:tcW w:w="200" w:type="dxa"/>
            <w:vAlign w:val="bottom"/>
            <w:vMerge w:val="continue"/>
          </w:tcPr>
          <w:p>
            <w:pPr>
              <w:spacing w:after="0"/>
              <w:rPr>
                <w:sz w:val="11"/>
                <w:szCs w:val="11"/>
                <w:color w:val="auto"/>
              </w:rPr>
            </w:pPr>
          </w:p>
        </w:tc>
        <w:tc>
          <w:tcPr>
            <w:tcW w:w="212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color w:val="auto"/>
              </w:rPr>
              <w:t>Yifan Li</w:t>
            </w:r>
          </w:p>
        </w:tc>
        <w:tc>
          <w:tcPr>
            <w:tcW w:w="280" w:type="dxa"/>
            <w:vAlign w:val="bottom"/>
            <w:vMerge w:val="continue"/>
          </w:tcPr>
          <w:p>
            <w:pPr>
              <w:spacing w:after="0"/>
              <w:rPr>
                <w:sz w:val="11"/>
                <w:szCs w:val="11"/>
                <w:color w:val="auto"/>
              </w:rPr>
            </w:pPr>
          </w:p>
        </w:tc>
        <w:tc>
          <w:tcPr>
            <w:tcW w:w="214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/s/ Taisu Zhang</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14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Independent Director</w:t>
            </w: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1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June 5, 2026</w:t>
            </w:r>
          </w:p>
        </w:tc>
        <w:tc>
          <w:tcPr>
            <w:tcW w:w="2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8"/>
        </w:trPr>
        <w:tc>
          <w:tcPr>
            <w:tcW w:w="200" w:type="dxa"/>
            <w:vAlign w:val="bottom"/>
            <w:vMerge w:val="continue"/>
          </w:tcPr>
          <w:p>
            <w:pPr>
              <w:spacing w:after="0"/>
              <w:rPr>
                <w:sz w:val="11"/>
                <w:szCs w:val="11"/>
                <w:color w:val="auto"/>
              </w:rPr>
            </w:pPr>
          </w:p>
        </w:tc>
        <w:tc>
          <w:tcPr>
            <w:tcW w:w="2120" w:type="dxa"/>
            <w:vAlign w:val="bottom"/>
            <w:vMerge w:val="restart"/>
          </w:tcPr>
          <w:p>
            <w:pPr>
              <w:jc w:val="center"/>
              <w:ind w:right="129"/>
              <w:spacing w:after="0"/>
              <w:rPr>
                <w:sz w:val="20"/>
                <w:szCs w:val="20"/>
                <w:color w:val="auto"/>
              </w:rPr>
            </w:pPr>
            <w:r>
              <w:rPr>
                <w:rFonts w:ascii="Times New Roman" w:cs="Times New Roman" w:eastAsia="Times New Roman" w:hAnsi="Times New Roman"/>
                <w:sz w:val="14"/>
                <w:szCs w:val="14"/>
                <w:color w:val="auto"/>
              </w:rPr>
              <w:t>Taisu Zhang</w:t>
            </w:r>
          </w:p>
        </w:tc>
        <w:tc>
          <w:tcPr>
            <w:tcW w:w="280" w:type="dxa"/>
            <w:vAlign w:val="bottom"/>
            <w:vMerge w:val="continue"/>
          </w:tcPr>
          <w:p>
            <w:pPr>
              <w:spacing w:after="0"/>
              <w:rPr>
                <w:sz w:val="11"/>
                <w:szCs w:val="11"/>
                <w:color w:val="auto"/>
              </w:rPr>
            </w:pPr>
          </w:p>
        </w:tc>
        <w:tc>
          <w:tcPr>
            <w:tcW w:w="214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/s/ Yi Wang</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14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Independent Director</w:t>
            </w: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1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June 5, 2026</w:t>
            </w:r>
          </w:p>
        </w:tc>
        <w:tc>
          <w:tcPr>
            <w:tcW w:w="2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8"/>
        </w:trPr>
        <w:tc>
          <w:tcPr>
            <w:tcW w:w="200" w:type="dxa"/>
            <w:vAlign w:val="bottom"/>
            <w:vMerge w:val="continue"/>
          </w:tcPr>
          <w:p>
            <w:pPr>
              <w:spacing w:after="0"/>
              <w:rPr>
                <w:sz w:val="11"/>
                <w:szCs w:val="11"/>
                <w:color w:val="auto"/>
              </w:rPr>
            </w:pPr>
          </w:p>
        </w:tc>
        <w:tc>
          <w:tcPr>
            <w:tcW w:w="2120" w:type="dxa"/>
            <w:vAlign w:val="bottom"/>
            <w:vMerge w:val="restart"/>
          </w:tcPr>
          <w:p>
            <w:pPr>
              <w:jc w:val="center"/>
              <w:ind w:right="129"/>
              <w:spacing w:after="0"/>
              <w:rPr>
                <w:sz w:val="20"/>
                <w:szCs w:val="20"/>
                <w:color w:val="auto"/>
              </w:rPr>
            </w:pPr>
            <w:r>
              <w:rPr>
                <w:rFonts w:ascii="Times New Roman" w:cs="Times New Roman" w:eastAsia="Times New Roman" w:hAnsi="Times New Roman"/>
                <w:sz w:val="14"/>
                <w:szCs w:val="14"/>
                <w:color w:val="auto"/>
              </w:rPr>
              <w:t>Yi Wang</w:t>
            </w:r>
          </w:p>
        </w:tc>
        <w:tc>
          <w:tcPr>
            <w:tcW w:w="280" w:type="dxa"/>
            <w:vAlign w:val="bottom"/>
            <w:vMerge w:val="continue"/>
          </w:tcPr>
          <w:p>
            <w:pPr>
              <w:spacing w:after="0"/>
              <w:rPr>
                <w:sz w:val="11"/>
                <w:szCs w:val="11"/>
                <w:color w:val="auto"/>
              </w:rPr>
            </w:pPr>
          </w:p>
        </w:tc>
        <w:tc>
          <w:tcPr>
            <w:tcW w:w="214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200" w:type="dxa"/>
            <w:vAlign w:val="bottom"/>
          </w:tcPr>
          <w:p>
            <w:pPr>
              <w:spacing w:after="0"/>
              <w:rPr>
                <w:sz w:val="24"/>
                <w:szCs w:val="24"/>
                <w:color w:val="auto"/>
              </w:rPr>
            </w:pPr>
          </w:p>
        </w:tc>
        <w:tc>
          <w:tcPr>
            <w:tcW w:w="212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/s/ Hongfei Huang (Aaron)</w:t>
            </w:r>
          </w:p>
        </w:tc>
        <w:tc>
          <w:tcPr>
            <w:tcW w:w="280" w:type="dxa"/>
            <w:vAlign w:val="bottom"/>
          </w:tcPr>
          <w:p>
            <w:pPr>
              <w:spacing w:after="0"/>
              <w:rPr>
                <w:sz w:val="24"/>
                <w:szCs w:val="24"/>
                <w:color w:val="auto"/>
              </w:rPr>
            </w:pPr>
          </w:p>
        </w:tc>
        <w:tc>
          <w:tcPr>
            <w:tcW w:w="214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Chief Financial Officer</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212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color w:val="auto"/>
              </w:rPr>
              <w:t>Hongfei Huang (Aaron)</w:t>
            </w:r>
          </w:p>
        </w:tc>
        <w:tc>
          <w:tcPr>
            <w:tcW w:w="2420" w:type="dxa"/>
            <w:vAlign w:val="bottom"/>
            <w:gridSpan w:val="2"/>
          </w:tcPr>
          <w:p>
            <w:pPr>
              <w:ind w:left="40"/>
              <w:spacing w:after="0" w:line="156" w:lineRule="exact"/>
              <w:rPr>
                <w:sz w:val="20"/>
                <w:szCs w:val="20"/>
                <w:color w:val="auto"/>
              </w:rPr>
            </w:pPr>
            <w:r>
              <w:rPr>
                <w:rFonts w:ascii="Times New Roman" w:cs="Times New Roman" w:eastAsia="Times New Roman" w:hAnsi="Times New Roman"/>
                <w:sz w:val="14"/>
                <w:szCs w:val="14"/>
                <w:color w:val="auto"/>
              </w:rPr>
              <w:t>​ ​   (Principal Financial Officer and</w:t>
            </w:r>
          </w:p>
        </w:tc>
        <w:tc>
          <w:tcPr>
            <w:tcW w:w="42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 ​</w:t>
            </w:r>
          </w:p>
        </w:tc>
        <w:tc>
          <w:tcPr>
            <w:tcW w:w="1140" w:type="dxa"/>
            <w:vAlign w:val="bottom"/>
          </w:tcPr>
          <w:p>
            <w:pPr>
              <w:ind w:left="180"/>
              <w:spacing w:after="0" w:line="156" w:lineRule="exact"/>
              <w:rPr>
                <w:sz w:val="20"/>
                <w:szCs w:val="20"/>
                <w:color w:val="auto"/>
              </w:rPr>
            </w:pPr>
            <w:r>
              <w:rPr>
                <w:rFonts w:ascii="Times New Roman" w:cs="Times New Roman" w:eastAsia="Times New Roman" w:hAnsi="Times New Roman"/>
                <w:sz w:val="14"/>
                <w:szCs w:val="14"/>
                <w:color w:val="auto"/>
              </w:rPr>
              <w:t>June 5, 2026</w:t>
            </w:r>
          </w:p>
        </w:tc>
        <w:tc>
          <w:tcPr>
            <w:tcW w:w="220" w:type="dxa"/>
            <w:vAlign w:val="bottom"/>
          </w:tcPr>
          <w:p>
            <w:pPr>
              <w:ind w:left="180"/>
              <w:spacing w:after="0" w:line="15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21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214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0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-2322830</wp:posOffset>
            </wp:positionV>
            <wp:extent cx="146367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1463675" cy="698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-1970405</wp:posOffset>
            </wp:positionV>
            <wp:extent cx="146367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1463675" cy="698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-1617980</wp:posOffset>
            </wp:positionV>
            <wp:extent cx="146367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1463675" cy="698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-1265555</wp:posOffset>
            </wp:positionV>
            <wp:extent cx="146367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1463675" cy="698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-913765</wp:posOffset>
            </wp:positionV>
            <wp:extent cx="146367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1463675" cy="698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-561340</wp:posOffset>
            </wp:positionV>
            <wp:extent cx="146367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1463675" cy="698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-168275</wp:posOffset>
            </wp:positionV>
            <wp:extent cx="146367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14636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1" w:name="page42"/>
    <w:bookmarkEnd w:id="41"/>
    <w:p>
      <w:pPr>
        <w:ind w:left="2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 OF AUTHORIZED REPRESENTATIVE IN THE UNITED STATES</w:t>
      </w:r>
    </w:p>
    <w:p>
      <w:pPr>
        <w:spacing w:after="0" w:line="129" w:lineRule="exact"/>
        <w:rPr>
          <w:sz w:val="20"/>
          <w:szCs w:val="20"/>
          <w:color w:val="auto"/>
        </w:rPr>
      </w:pPr>
    </w:p>
    <w:p>
      <w:pPr>
        <w:jc w:val="both"/>
        <w:ind w:left="1260" w:right="1279" w:firstLine="284"/>
        <w:spacing w:after="0" w:line="272" w:lineRule="auto"/>
        <w:rPr>
          <w:sz w:val="20"/>
          <w:szCs w:val="20"/>
          <w:color w:val="auto"/>
        </w:rPr>
      </w:pPr>
      <w:r>
        <w:rPr>
          <w:rFonts w:ascii="Times New Roman" w:cs="Times New Roman" w:eastAsia="Times New Roman" w:hAnsi="Times New Roman"/>
          <w:sz w:val="14"/>
          <w:szCs w:val="14"/>
          <w:color w:val="auto"/>
        </w:rPr>
        <w:t>Pursuant to the Securities Act of 1933, as amended, the undersigned, the fully authorized representative in the United States of Chagee Holdings Limited, has signed this registration statement on Form F-3 in New York on June 5, 2026.</w:t>
      </w:r>
    </w:p>
    <w:p>
      <w:pPr>
        <w:spacing w:after="0" w:line="13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Authorized U.S. Representative</w:t>
      </w:r>
    </w:p>
    <w:p>
      <w:pPr>
        <w:spacing w:after="0" w:line="2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Cogency Global Inc.</w:t>
      </w:r>
    </w:p>
    <w:p>
      <w:pPr>
        <w:spacing w:after="0" w:line="3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42545</wp:posOffset>
            </wp:positionV>
            <wp:extent cx="177482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1774825" cy="6985"/>
                    </a:xfrm>
                    <a:prstGeom prst="rect">
                      <a:avLst/>
                    </a:prstGeom>
                    <a:noFill/>
                  </pic:spPr>
                </pic:pic>
              </a:graphicData>
            </a:graphic>
          </wp:anchor>
        </w:drawing>
      </w:r>
    </w:p>
    <w:p>
      <w:pPr>
        <w:spacing w:after="0" w:line="6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4"/>
          <w:szCs w:val="14"/>
          <w:color w:val="auto"/>
        </w:rPr>
        <w:t>Name: Colleen A. De Vries</w:t>
      </w:r>
    </w:p>
    <w:p>
      <w:pPr>
        <w:spacing w:after="0" w:line="24" w:lineRule="exact"/>
        <w:rPr>
          <w:sz w:val="20"/>
          <w:szCs w:val="20"/>
          <w:color w:val="auto"/>
        </w:rPr>
      </w:pPr>
    </w:p>
    <w:p>
      <w:pPr>
        <w:ind w:left="4960"/>
        <w:spacing w:after="0"/>
        <w:tabs>
          <w:tab w:leader="none" w:pos="5380" w:val="left"/>
        </w:tabs>
        <w:rPr>
          <w:sz w:val="20"/>
          <w:szCs w:val="20"/>
          <w:color w:val="auto"/>
        </w:rPr>
      </w:pPr>
      <w:r>
        <w:rPr>
          <w:rFonts w:ascii="Times New Roman" w:cs="Times New Roman" w:eastAsia="Times New Roman" w:hAnsi="Times New Roman"/>
          <w:sz w:val="14"/>
          <w:szCs w:val="14"/>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199390</wp:posOffset>
            </wp:positionV>
            <wp:extent cx="539813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539813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657225" cy="6165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657225" cy="61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Our ref</w:t>
      </w:r>
      <w:r>
        <w:rPr>
          <w:sz w:val="20"/>
          <w:szCs w:val="20"/>
          <w:color w:val="auto"/>
        </w:rPr>
        <w:tab/>
      </w:r>
      <w:r>
        <w:rPr>
          <w:rFonts w:ascii="Times New Roman" w:cs="Times New Roman" w:eastAsia="Times New Roman" w:hAnsi="Times New Roman"/>
          <w:sz w:val="14"/>
          <w:szCs w:val="14"/>
          <w:color w:val="auto"/>
        </w:rPr>
        <w:t>YCU/604835-000001/86451124v2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Chagee Holdings Limited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Tower B, Hongqiao Lianhe Building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99 Kaihong Road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Changning District, Shanghai</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People's Republic of China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 June 2026</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Sirs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Chagee Holdings Limited</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acted as Cayman Islands legal advisers to Chagee Holdings Limited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in connection with the Company’s registration statement on Form F-3, including all amendments or supplements thereto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filed with the Securities and Exchange Commission under the U.S. Securities Act of 1933, as amended to date, relating to (i) the future issuance and sale by the Company, on a delayed or continuous basis, from time to time in one or more offerings, class A ordinary shares of the Company of a par value of US$0.0001 each (the “</w:t>
      </w: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color w:val="auto"/>
        </w:rPr>
        <w:t>”), including in the form of American depositary shares, each representing one Share (the "</w:t>
      </w:r>
      <w:r>
        <w:rPr>
          <w:rFonts w:ascii="Times New Roman" w:cs="Times New Roman" w:eastAsia="Times New Roman" w:hAnsi="Times New Roman"/>
          <w:sz w:val="14"/>
          <w:szCs w:val="14"/>
          <w:b w:val="1"/>
          <w:bCs w:val="1"/>
          <w:color w:val="auto"/>
        </w:rPr>
        <w:t>ADSs</w:t>
      </w:r>
      <w:r>
        <w:rPr>
          <w:rFonts w:ascii="Times New Roman" w:cs="Times New Roman" w:eastAsia="Times New Roman" w:hAnsi="Times New Roman"/>
          <w:sz w:val="14"/>
          <w:szCs w:val="14"/>
          <w:color w:val="auto"/>
        </w:rPr>
        <w:t>") and (ii) the future resale by certain selling shareholders, on a delayed or continuous basis, from time to time in one or more offerings, certain Shares held by them, including in the form of ADSs.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furnishing this opinion as Exhibits 5.1 and 23.2 to the Registration Statement.</w:t>
      </w:r>
    </w:p>
    <w:p>
      <w:pPr>
        <w:spacing w:after="0" w:line="178" w:lineRule="exact"/>
        <w:rPr>
          <w:sz w:val="20"/>
          <w:szCs w:val="20"/>
          <w:color w:val="auto"/>
        </w:rPr>
      </w:pPr>
    </w:p>
    <w:p>
      <w:pPr>
        <w:ind w:left="520" w:hanging="515"/>
        <w:spacing w:after="0"/>
        <w:tabs>
          <w:tab w:leader="none" w:pos="52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Documents Reviewed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purposes of this opinion, we have reviewed only originals, copies or final drafts of the following documents:</w:t>
      </w:r>
    </w:p>
    <w:p>
      <w:pPr>
        <w:spacing w:after="0" w:line="1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4"/>
          <w:szCs w:val="14"/>
          <w:color w:val="auto"/>
        </w:rPr>
        <w:t>The certificate of incorporation of the Company dated 12 May 2023 issued by the Registrar of Companies in the Cayman Islands.</w:t>
      </w:r>
    </w:p>
    <w:p>
      <w:pPr>
        <w:spacing w:after="0" w:line="180" w:lineRule="exact"/>
        <w:rPr>
          <w:sz w:val="20"/>
          <w:szCs w:val="20"/>
          <w:color w:val="auto"/>
        </w:rPr>
      </w:pPr>
    </w:p>
    <w:p>
      <w:pPr>
        <w:ind w:left="520" w:hanging="511"/>
        <w:spacing w:after="0" w:line="289" w:lineRule="auto"/>
        <w:tabs>
          <w:tab w:leader="none" w:pos="50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4"/>
          <w:szCs w:val="14"/>
          <w:color w:val="auto"/>
        </w:rPr>
        <w:t>The fourth amended and restated memorandum and articles of association of the Company as conditionally adopted by a special resolution passed on 20 March 2025 and effective immediately prior to the completion of the Company’s initial public offering of ADSs representing its Class A Ordinary Shares (the "</w:t>
      </w:r>
      <w:r>
        <w:rPr>
          <w:rFonts w:ascii="Times New Roman" w:cs="Times New Roman" w:eastAsia="Times New Roman" w:hAnsi="Times New Roman"/>
          <w:sz w:val="14"/>
          <w:szCs w:val="14"/>
          <w:b w:val="1"/>
          <w:bCs w:val="1"/>
          <w:color w:val="auto"/>
        </w:rPr>
        <w:t>Memorandum and Articles</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4"/>
          <w:szCs w:val="14"/>
          <w:color w:val="auto"/>
        </w:rPr>
        <w:t>The written resolutions of the board of directors of the Company dated 28 May 2026 (the "</w:t>
      </w:r>
      <w:r>
        <w:rPr>
          <w:rFonts w:ascii="Times New Roman" w:cs="Times New Roman" w:eastAsia="Times New Roman" w:hAnsi="Times New Roman"/>
          <w:sz w:val="14"/>
          <w:szCs w:val="14"/>
          <w:b w:val="1"/>
          <w:bCs w:val="1"/>
          <w:color w:val="auto"/>
        </w:rPr>
        <w:t>Board Resolutions</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color w:val="auto"/>
        </w:rPr>
        <w:t>A certificate of good standing dated 29 May 2026, issued by the Registrar of Companies in the Cayman Islands (the "</w:t>
      </w:r>
      <w:r>
        <w:rPr>
          <w:rFonts w:ascii="Times New Roman" w:cs="Times New Roman" w:eastAsia="Times New Roman" w:hAnsi="Times New Roman"/>
          <w:sz w:val="14"/>
          <w:szCs w:val="14"/>
          <w:b w:val="1"/>
          <w:bCs w:val="1"/>
          <w:color w:val="auto"/>
        </w:rPr>
        <w:t>Certificate of Good Standing</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4"/>
          <w:szCs w:val="14"/>
          <w:color w:val="auto"/>
        </w:rPr>
        <w:t>A certificate from a director of the Company, a copy of which is attached hereto (the "</w:t>
      </w:r>
      <w:r>
        <w:rPr>
          <w:rFonts w:ascii="Times New Roman" w:cs="Times New Roman" w:eastAsia="Times New Roman" w:hAnsi="Times New Roman"/>
          <w:sz w:val="14"/>
          <w:szCs w:val="14"/>
          <w:b w:val="1"/>
          <w:bCs w:val="1"/>
          <w:color w:val="auto"/>
        </w:rPr>
        <w:t>Director's Certificate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1.6</w:t>
      </w:r>
      <w:r>
        <w:rPr>
          <w:sz w:val="20"/>
          <w:szCs w:val="20"/>
          <w:color w:val="auto"/>
        </w:rPr>
        <w:tab/>
      </w:r>
      <w:r>
        <w:rPr>
          <w:rFonts w:ascii="Times New Roman" w:cs="Times New Roman" w:eastAsia="Times New Roman" w:hAnsi="Times New Roman"/>
          <w:sz w:val="14"/>
          <w:szCs w:val="14"/>
          <w:color w:val="auto"/>
        </w:rPr>
        <w:t>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354330</wp:posOffset>
            </wp:positionV>
            <wp:extent cx="716089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307" w:right="319" w:bottom="1440" w:gutter="0" w:footer="0" w:header="0"/>
        </w:sectPr>
      </w:pPr>
    </w:p>
    <w:bookmarkStart w:id="43" w:name="page44"/>
    <w:bookmarkEnd w:id="43"/>
    <w:p>
      <w:pPr>
        <w:ind w:left="520" w:hanging="515"/>
        <w:spacing w:after="0"/>
        <w:tabs>
          <w:tab w:leader="none" w:pos="52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Assumptions</w:t>
      </w:r>
    </w:p>
    <w:p>
      <w:pPr>
        <w:spacing w:after="0" w:line="1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spacing w:after="0" w:line="13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color w:val="auto"/>
        </w:rPr>
        <w:t>Copies of documents, conformed copies or drafts of documents provided to us are true and complete copies of, or in the final forms of, the originals.</w:t>
      </w:r>
    </w:p>
    <w:p>
      <w:pPr>
        <w:spacing w:after="0" w:line="1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4"/>
          <w:szCs w:val="14"/>
          <w:color w:val="auto"/>
        </w:rPr>
        <w:t>All signatures, initials and seals are genuine.</w:t>
      </w:r>
    </w:p>
    <w:p>
      <w:pPr>
        <w:spacing w:after="0" w:line="180" w:lineRule="exact"/>
        <w:rPr>
          <w:sz w:val="20"/>
          <w:szCs w:val="20"/>
          <w:color w:val="auto"/>
        </w:rPr>
      </w:pPr>
    </w:p>
    <w:p>
      <w:pPr>
        <w:jc w:val="both"/>
        <w:ind w:left="520" w:hanging="511"/>
        <w:spacing w:after="0" w:line="289" w:lineRule="auto"/>
        <w:tabs>
          <w:tab w:leader="none" w:pos="50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4"/>
          <w:szCs w:val="14"/>
          <w:color w:val="auto"/>
        </w:rPr>
        <w:t>There is no contractual or other prohibition or restriction (other than as arising under Cayman Islands law) binding on the Company prohibiting or restricting it from entering into and performing its obligations under the Registration Statement.</w:t>
      </w:r>
    </w:p>
    <w:p>
      <w:pPr>
        <w:spacing w:after="0" w:line="12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4"/>
          <w:szCs w:val="14"/>
          <w:color w:val="auto"/>
        </w:rPr>
        <w:t>The Company will have sufficient authorised capital to effect the issue of the Shares at the time of issuance.</w:t>
      </w:r>
    </w:p>
    <w:p>
      <w:pPr>
        <w:spacing w:after="0" w:line="180" w:lineRule="exact"/>
        <w:rPr>
          <w:sz w:val="20"/>
          <w:szCs w:val="20"/>
          <w:color w:val="auto"/>
        </w:rPr>
      </w:pPr>
    </w:p>
    <w:p>
      <w:pPr>
        <w:jc w:val="both"/>
        <w:ind w:left="520" w:hanging="511"/>
        <w:spacing w:after="0" w:line="289" w:lineRule="auto"/>
        <w:tabs>
          <w:tab w:leader="none" w:pos="500"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4"/>
          <w:szCs w:val="14"/>
          <w:color w:val="auto"/>
        </w:rPr>
        <w:t>No monies paid to or for the account of the Company in respect of the Shares represent or will represent proceeds of criminal conduct or criminal property or terrorist property (as defined in the Proceeds of Crime Act (As Revised) and the Terrorism Act (As Revised) respectively).</w:t>
      </w:r>
    </w:p>
    <w:p>
      <w:pPr>
        <w:spacing w:after="0" w:line="124" w:lineRule="exact"/>
        <w:rPr>
          <w:sz w:val="20"/>
          <w:szCs w:val="20"/>
          <w:color w:val="auto"/>
        </w:rPr>
      </w:pPr>
    </w:p>
    <w:p>
      <w:pPr>
        <w:jc w:val="both"/>
        <w:ind w:left="520" w:hanging="511"/>
        <w:spacing w:after="0" w:line="289" w:lineRule="auto"/>
        <w:tabs>
          <w:tab w:leader="none" w:pos="500" w:val="left"/>
        </w:tabs>
        <w:rPr>
          <w:sz w:val="20"/>
          <w:szCs w:val="20"/>
          <w:color w:val="auto"/>
        </w:rPr>
      </w:pP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4"/>
          <w:szCs w:val="14"/>
          <w:color w:val="auto"/>
        </w:rPr>
        <w:t>There is nothing contained in the minute book or corporate records of the Company (which, other than the records set out in paragraphs 1.1 to 1.4 of this opinion letter, we have not inspected) which would or might affect the opinions set out below.</w:t>
      </w:r>
    </w:p>
    <w:p>
      <w:pPr>
        <w:spacing w:after="0" w:line="12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2.7</w:t>
      </w:r>
      <w:r>
        <w:rPr>
          <w:sz w:val="20"/>
          <w:szCs w:val="20"/>
          <w:color w:val="auto"/>
        </w:rPr>
        <w:tab/>
      </w:r>
      <w:r>
        <w:rPr>
          <w:rFonts w:ascii="Times New Roman" w:cs="Times New Roman" w:eastAsia="Times New Roman" w:hAnsi="Times New Roman"/>
          <w:sz w:val="14"/>
          <w:szCs w:val="14"/>
          <w:color w:val="auto"/>
        </w:rPr>
        <w:t>There is nothing under any law (other than the law of the Cayman Islands), which would or might affect the opinions set out below.</w:t>
      </w:r>
    </w:p>
    <w:p>
      <w:pPr>
        <w:spacing w:after="0" w:line="178" w:lineRule="exact"/>
        <w:rPr>
          <w:sz w:val="20"/>
          <w:szCs w:val="20"/>
          <w:color w:val="auto"/>
        </w:rPr>
      </w:pPr>
    </w:p>
    <w:p>
      <w:pPr>
        <w:ind w:left="520" w:hanging="515"/>
        <w:spacing w:after="0"/>
        <w:tabs>
          <w:tab w:leader="none" w:pos="52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upon the foregoing and subject to the qualifications set out below and having regard to such legal considerations as we deem relevant, we are of the opinion that:</w:t>
      </w:r>
    </w:p>
    <w:p>
      <w:pPr>
        <w:spacing w:after="0" w:line="180" w:lineRule="exact"/>
        <w:rPr>
          <w:sz w:val="20"/>
          <w:szCs w:val="20"/>
          <w:color w:val="auto"/>
        </w:rPr>
      </w:pPr>
    </w:p>
    <w:p>
      <w:pPr>
        <w:jc w:val="both"/>
        <w:ind w:left="520" w:hanging="511"/>
        <w:spacing w:after="0" w:line="289" w:lineRule="auto"/>
        <w:tabs>
          <w:tab w:leader="none" w:pos="50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color w:val="auto"/>
        </w:rPr>
        <w:t>The Company has been duly incorporated as an exempted company with limited liability and is validly existing and in good standing with the Registrar of Companies under the laws of the Cayman Islands.</w:t>
      </w:r>
    </w:p>
    <w:p>
      <w:pPr>
        <w:spacing w:after="0" w:line="124" w:lineRule="exact"/>
        <w:rPr>
          <w:sz w:val="20"/>
          <w:szCs w:val="20"/>
          <w:color w:val="auto"/>
        </w:rPr>
      </w:pPr>
    </w:p>
    <w:p>
      <w:pPr>
        <w:jc w:val="both"/>
        <w:ind w:left="520" w:hanging="511"/>
        <w:spacing w:after="0" w:line="272" w:lineRule="auto"/>
        <w:tabs>
          <w:tab w:leader="none" w:pos="50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color w:val="auto"/>
        </w:rPr>
        <w:t>The authorised share capital of the Company is US$80,000 divided into 800,000,000 ordinary shares of a par value of US$0.0001 each, comprising (a) 700,000,000 Class A ordinary shares of a par value of US$0.0001 each, (b) 80,000,000 Class B ordinary shares of a par value of US$0.0001 each, and (c) 20,000,000 shares of a par value of US$0.0001 each of such class or classes as the board of directors of the Company (the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may determine in accordance with the Memorandum and Articles.</w:t>
      </w:r>
    </w:p>
    <w:p>
      <w:pPr>
        <w:spacing w:after="0" w:line="135" w:lineRule="exact"/>
        <w:rPr>
          <w:sz w:val="20"/>
          <w:szCs w:val="20"/>
          <w:color w:val="auto"/>
        </w:rPr>
      </w:pPr>
    </w:p>
    <w:p>
      <w:pPr>
        <w:jc w:val="both"/>
        <w:ind w:left="520" w:hanging="511"/>
        <w:spacing w:after="0" w:line="272" w:lineRule="auto"/>
        <w:tabs>
          <w:tab w:leader="none" w:pos="500" w:val="left"/>
        </w:tabs>
        <w:rPr>
          <w:sz w:val="20"/>
          <w:szCs w:val="20"/>
          <w:color w:val="auto"/>
        </w:rPr>
      </w:pPr>
      <w:r>
        <w:rPr>
          <w:rFonts w:ascii="Times New Roman" w:cs="Times New Roman" w:eastAsia="Times New Roman" w:hAnsi="Times New Roman"/>
          <w:sz w:val="14"/>
          <w:szCs w:val="14"/>
          <w:color w:val="auto"/>
        </w:rPr>
        <w:t>3.3</w:t>
      </w:r>
      <w:r>
        <w:rPr>
          <w:sz w:val="20"/>
          <w:szCs w:val="20"/>
          <w:color w:val="auto"/>
        </w:rPr>
        <w:tab/>
      </w:r>
      <w:r>
        <w:rPr>
          <w:rFonts w:ascii="Times New Roman" w:cs="Times New Roman" w:eastAsia="Times New Roman" w:hAnsi="Times New Roman"/>
          <w:sz w:val="14"/>
          <w:szCs w:val="14"/>
          <w:color w:val="auto"/>
        </w:rPr>
        <w:t>With respect to the Shares, including those represented by ADSs, when (i) the Board has taken all necessary corporate action to approve the issue thereof, the terms of the offering thereof and related matters; (ii) the issue of such Shares has been recorded in the Company's register of members (shareholders); and (iii) the subscription price of such Shares (being not less than the par value of the Shares) has been fully paid in cash or other consideration approved by the Board, the Shares will be duly authorised, validly issued, fully paid and non-assessable.</w:t>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44" w:name="page45"/>
    <w:bookmarkEnd w:id="44"/>
    <w:p>
      <w:pPr>
        <w:ind w:left="520" w:hanging="515"/>
        <w:spacing w:after="0"/>
        <w:tabs>
          <w:tab w:leader="none" w:pos="520"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Qualifications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opinions expressed above are subject to the following qualifications:</w:t>
      </w:r>
    </w:p>
    <w:p>
      <w:pPr>
        <w:spacing w:after="0" w:line="180" w:lineRule="exact"/>
        <w:rPr>
          <w:sz w:val="20"/>
          <w:szCs w:val="20"/>
          <w:color w:val="auto"/>
        </w:rPr>
      </w:pPr>
    </w:p>
    <w:p>
      <w:pPr>
        <w:jc w:val="both"/>
        <w:ind w:left="520" w:hanging="511"/>
        <w:spacing w:after="0" w:line="289" w:lineRule="auto"/>
        <w:tabs>
          <w:tab w:leader="none" w:pos="50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color w:val="auto"/>
        </w:rPr>
        <w:t>To maintain the Company in good standing under the laws of the Cayman Islands, annual filing fees must be paid and returns made to the Registrar of Companies within the time frame prescribed by law.</w:t>
      </w:r>
    </w:p>
    <w:p>
      <w:pPr>
        <w:spacing w:after="0" w:line="124" w:lineRule="exact"/>
        <w:rPr>
          <w:sz w:val="20"/>
          <w:szCs w:val="20"/>
          <w:color w:val="auto"/>
        </w:rPr>
      </w:pPr>
    </w:p>
    <w:p>
      <w:pPr>
        <w:jc w:val="both"/>
        <w:ind w:left="520" w:hanging="511"/>
        <w:spacing w:after="0" w:line="289" w:lineRule="auto"/>
        <w:tabs>
          <w:tab w:leader="none" w:pos="50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We express no opinion as to the meaning, validity or effect of any references to foreign (i.e. non-Cayman Islands) statutes, rules, regulations, codes, judicial authority or any other promulgations.</w:t>
      </w:r>
    </w:p>
    <w:p>
      <w:pPr>
        <w:spacing w:after="0" w:line="124" w:lineRule="exact"/>
        <w:rPr>
          <w:sz w:val="20"/>
          <w:szCs w:val="20"/>
          <w:color w:val="auto"/>
        </w:rPr>
      </w:pPr>
    </w:p>
    <w:p>
      <w:pPr>
        <w:jc w:val="both"/>
        <w:ind w:left="520" w:hanging="511"/>
        <w:spacing w:after="0" w:line="272" w:lineRule="auto"/>
        <w:tabs>
          <w:tab w:leader="none" w:pos="50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color w:val="auto"/>
        </w:rPr>
        <w:t>Under the Companies Act, the register of members of a Cayman Islands company is by statute regarded as prima facie evidence of any matters which the Companies Act directs or authorises to be inserted therein. A third party interest in the shares in question would not appear. An entry in the register of members may yield to a court order for rectification (for example, in the event of fraud or manifest error).</w:t>
      </w:r>
    </w:p>
    <w:p>
      <w:pPr>
        <w:spacing w:after="0" w:line="135" w:lineRule="exact"/>
        <w:rPr>
          <w:sz w:val="20"/>
          <w:szCs w:val="20"/>
          <w:color w:val="auto"/>
        </w:rPr>
      </w:pPr>
    </w:p>
    <w:p>
      <w:pPr>
        <w:jc w:val="both"/>
        <w:ind w:left="520" w:hanging="511"/>
        <w:spacing w:after="0" w:line="266" w:lineRule="auto"/>
        <w:tabs>
          <w:tab w:leader="none" w:pos="500" w:val="left"/>
        </w:tabs>
        <w:rPr>
          <w:sz w:val="20"/>
          <w:szCs w:val="20"/>
          <w:color w:val="auto"/>
        </w:rPr>
      </w:pPr>
      <w:r>
        <w:rPr>
          <w:rFonts w:ascii="Times New Roman" w:cs="Times New Roman" w:eastAsia="Times New Roman" w:hAnsi="Times New Roman"/>
          <w:sz w:val="14"/>
          <w:szCs w:val="14"/>
          <w:color w:val="auto"/>
        </w:rPr>
        <w:t>4.4</w:t>
      </w:r>
      <w:r>
        <w:rPr>
          <w:sz w:val="20"/>
          <w:szCs w:val="20"/>
          <w:color w:val="auto"/>
        </w:rPr>
        <w:tab/>
      </w:r>
      <w:r>
        <w:rPr>
          <w:rFonts w:ascii="Times New Roman" w:cs="Times New Roman" w:eastAsia="Times New Roman" w:hAnsi="Times New Roman"/>
          <w:sz w:val="14"/>
          <w:szCs w:val="14"/>
          <w:color w:val="auto"/>
        </w:rPr>
        <w:t>In this opinion the phrase "non-assessable" means, with respect to shares in the Company, that a shareholder shall not, solely by virtue of its status as a shareholder and in absence of a contractual arrangement, or an obligation pursuant to the memorandum and articles of association,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14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spacing w:after="0" w:line="1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to the reference to our name under the headings "Enforceability of Civil Liabilities" and "Legal Matters" and elsewhere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Yours faithfully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Maples and Calder (Cayman) LLP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Maples and Calder (Hong Kong) LLP</w:t>
      </w: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4"/>
          <w:szCs w:val="14"/>
          <w:b w:val="1"/>
          <w:bCs w:val="1"/>
          <w:color w:val="auto"/>
        </w:rPr>
        <w:t>Director's Certificate</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June 1, 2026</w:t>
      </w:r>
    </w:p>
    <w:p>
      <w:pPr>
        <w:sectPr>
          <w:pgSz w:w="11900" w:h="16838" w:orient="portrait"/>
          <w:cols w:equalWidth="0" w:num="1">
            <w:col w:w="11280"/>
          </w:cols>
          <w:pgMar w:left="300" w:top="742" w:right="31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Maples and Calder (Hong Kong)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26th Floor, Central Plaza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 Harbour Road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Wanchai, Hong Kong</w:t>
      </w:r>
    </w:p>
    <w:p>
      <w:pPr>
        <w:spacing w:after="0" w:line="166" w:lineRule="exact"/>
        <w:rPr>
          <w:sz w:val="20"/>
          <w:szCs w:val="20"/>
          <w:color w:val="auto"/>
        </w:rPr>
      </w:pPr>
    </w:p>
    <w:p>
      <w:pPr>
        <w:sectPr>
          <w:pgSz w:w="11900" w:h="16838" w:orient="portrait"/>
          <w:cols w:equalWidth="0" w:num="2">
            <w:col w:w="200" w:space="320"/>
            <w:col w:w="10760"/>
          </w:cols>
          <w:pgMar w:left="300" w:top="742"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Dear Sirs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Chagee Holdings Limited (the "Company")</w:t>
      </w:r>
    </w:p>
    <w:p>
      <w:pPr>
        <w:spacing w:after="0" w:line="18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I, the undersigned, being a director of the Company, am aware that you are being asked to provide a legal opinion (the "</w:t>
      </w:r>
      <w:r>
        <w:rPr>
          <w:rFonts w:ascii="Times New Roman" w:cs="Times New Roman" w:eastAsia="Times New Roman" w:hAnsi="Times New Roman"/>
          <w:sz w:val="14"/>
          <w:szCs w:val="14"/>
          <w:b w:val="1"/>
          <w:bCs w:val="1"/>
          <w:color w:val="auto"/>
        </w:rPr>
        <w:t>Opinion</w:t>
      </w:r>
      <w:r>
        <w:rPr>
          <w:rFonts w:ascii="Times New Roman" w:cs="Times New Roman" w:eastAsia="Times New Roman" w:hAnsi="Times New Roman"/>
          <w:sz w:val="14"/>
          <w:szCs w:val="14"/>
          <w:color w:val="auto"/>
        </w:rPr>
        <w:t>") in relation to certain aspects of Cayman Islands law. Capitalised terms used in this certificate have the meaning given to them in the Opinion. I hereby certify that:</w:t>
      </w:r>
    </w:p>
    <w:p>
      <w:pPr>
        <w:spacing w:after="0" w:line="122" w:lineRule="exact"/>
        <w:rPr>
          <w:sz w:val="20"/>
          <w:szCs w:val="20"/>
          <w:color w:val="auto"/>
        </w:rPr>
      </w:pPr>
    </w:p>
    <w:p>
      <w:pPr>
        <w:ind w:left="520" w:hanging="515"/>
        <w:spacing w:after="0"/>
        <w:tabs>
          <w:tab w:leader="none" w:pos="520"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Memorandum and Articles remain in full force and effect and are unamended.</w:t>
      </w:r>
    </w:p>
    <w:p>
      <w:pPr>
        <w:spacing w:after="0" w:line="180" w:lineRule="exact"/>
        <w:rPr>
          <w:sz w:val="20"/>
          <w:szCs w:val="20"/>
          <w:color w:val="auto"/>
        </w:rPr>
      </w:pPr>
    </w:p>
    <w:p>
      <w:pPr>
        <w:ind w:left="520" w:hanging="515"/>
        <w:spacing w:after="0" w:line="289" w:lineRule="auto"/>
        <w:tabs>
          <w:tab w:leader="none" w:pos="520"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Board Resolutions were duly passed in the manner prescribed in the Memorandum and Articles (including, without limitation, with respect to the disclosure of interests (if any) by directors of the Company) and have not been amended, varied or revoked in any respect.</w:t>
      </w:r>
    </w:p>
    <w:p>
      <w:pPr>
        <w:spacing w:after="0" w:line="124" w:lineRule="exact"/>
        <w:rPr>
          <w:sz w:val="20"/>
          <w:szCs w:val="20"/>
          <w:color w:val="auto"/>
        </w:rPr>
      </w:pPr>
    </w:p>
    <w:p>
      <w:pPr>
        <w:jc w:val="both"/>
        <w:ind w:left="520" w:hanging="515"/>
        <w:spacing w:after="0" w:line="272" w:lineRule="auto"/>
        <w:tabs>
          <w:tab w:leader="none" w:pos="520" w:val="left"/>
        </w:tabs>
        <w:numPr>
          <w:ilvl w:val="0"/>
          <w:numId w:val="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authorised share capital of the Company is US$80,000 divided into 800,000,000 ordinary shares of a par value of US$0.0001 each, comprising (a) 700,000,000 Class A ordinary shares of a par value of US$0.0001 each, (b) 80,000,000 Class B ordinary shares of a par value of US$0.0001 each, and (c) 20,000,000 shares of a par value of US$0.0001 each of such class or classes as the Board may determine in accordance with the Memorandum and Articles.</w:t>
      </w:r>
    </w:p>
    <w:p>
      <w:pPr>
        <w:spacing w:after="0" w:line="135" w:lineRule="exact"/>
        <w:rPr>
          <w:sz w:val="20"/>
          <w:szCs w:val="20"/>
          <w:color w:val="auto"/>
        </w:rPr>
      </w:pPr>
    </w:p>
    <w:p>
      <w:pPr>
        <w:ind w:left="520" w:hanging="515"/>
        <w:spacing w:after="0" w:line="289" w:lineRule="auto"/>
        <w:tabs>
          <w:tab w:leader="none" w:pos="520" w:val="left"/>
        </w:tabs>
        <w:numPr>
          <w:ilvl w:val="0"/>
          <w:numId w:val="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shareholders of the Company have not restricted or limited the powers of the directors in any way and there is no contractual or other prohibition (other than as arising under Cayman Islands law) binding on the Company prohibiting it from issuing and allotting the Shares or otherwise performing its obligations under the Registration Statement.</w:t>
      </w:r>
    </w:p>
    <w:p>
      <w:pPr>
        <w:spacing w:after="0" w:line="124" w:lineRule="exact"/>
        <w:rPr>
          <w:sz w:val="20"/>
          <w:szCs w:val="20"/>
          <w:color w:val="auto"/>
        </w:rPr>
      </w:pPr>
    </w:p>
    <w:p>
      <w:pPr>
        <w:ind w:left="520" w:hanging="515"/>
        <w:spacing w:after="0"/>
        <w:tabs>
          <w:tab w:leader="none" w:pos="520"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directors of the Company at the date of the Board Resolutions and at the date hereof were and are:</w:t>
      </w:r>
    </w:p>
    <w:p>
      <w:pPr>
        <w:spacing w:after="0" w:line="180" w:lineRule="exact"/>
        <w:rPr>
          <w:rFonts w:ascii="Times New Roman" w:cs="Times New Roman" w:eastAsia="Times New Roman" w:hAnsi="Times New Roman"/>
          <w:sz w:val="14"/>
          <w:szCs w:val="14"/>
          <w:b w:val="1"/>
          <w:bCs w:val="1"/>
          <w:color w:val="auto"/>
        </w:rPr>
      </w:pPr>
    </w:p>
    <w:p>
      <w:pPr>
        <w:ind w:left="520" w:right="9960"/>
        <w:spacing w:after="0" w:line="25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Mian Lu Dengfeng Yin Junjie Zhang Yifan Li</w:t>
      </w:r>
    </w:p>
    <w:p>
      <w:pPr>
        <w:spacing w:after="0" w:line="1" w:lineRule="exact"/>
        <w:rPr>
          <w:rFonts w:ascii="Times New Roman" w:cs="Times New Roman" w:eastAsia="Times New Roman" w:hAnsi="Times New Roman"/>
          <w:sz w:val="14"/>
          <w:szCs w:val="14"/>
          <w:b w:val="1"/>
          <w:bCs w:val="1"/>
          <w:color w:val="auto"/>
        </w:rPr>
      </w:pPr>
    </w:p>
    <w:p>
      <w:pPr>
        <w:ind w:left="520" w:right="10060"/>
        <w:spacing w:after="0" w:line="29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color w:val="auto"/>
        </w:rPr>
        <w:t>Yi Wang Taisu Zhang Yong Zhang</w:t>
      </w:r>
    </w:p>
    <w:p>
      <w:pPr>
        <w:spacing w:after="0" w:line="125" w:lineRule="exact"/>
        <w:rPr>
          <w:sz w:val="20"/>
          <w:szCs w:val="20"/>
          <w:color w:val="auto"/>
        </w:rPr>
      </w:pPr>
    </w:p>
    <w:p>
      <w:pPr>
        <w:ind w:left="520" w:hanging="515"/>
        <w:spacing w:after="0" w:line="289" w:lineRule="auto"/>
        <w:tabs>
          <w:tab w:leader="none" w:pos="520" w:val="left"/>
        </w:tabs>
        <w:numPr>
          <w:ilvl w:val="0"/>
          <w:numId w:val="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Each director of the Company considers the transactions contemplated by the Registration Statement to be of commercial benefit to the Company and has acted bona fide in the best interests of the Company, and for a proper purpose of the Company in relation to the transactions the subject of the Opinion.</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type w:val="continuous"/>
        </w:sectPr>
      </w:pPr>
    </w:p>
    <w:bookmarkStart w:id="46" w:name="page47"/>
    <w:bookmarkEnd w:id="46"/>
    <w:p>
      <w:pPr>
        <w:jc w:val="both"/>
        <w:ind w:left="500" w:hanging="495"/>
        <w:spacing w:after="0" w:line="272" w:lineRule="auto"/>
        <w:tabs>
          <w:tab w:leader="none" w:pos="500"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the best of my knowledge and belief, having made due inquiry, the Company is not the subject of legal, arbitral, administrative or other proceedings in any jurisdiction and neither the directors nor shareholders of the Company have taken any steps to have the Company struck off or placed in liquidation. Further, no steps have been taken to wind up the Company or to appoint restructuring officers or interim restructuring officers, and no step has been taken to appoint a receiver in relation to any of the Company's property or assets.</w:t>
      </w:r>
    </w:p>
    <w:p>
      <w:pPr>
        <w:spacing w:after="0" w:line="135" w:lineRule="exact"/>
        <w:rPr>
          <w:sz w:val="20"/>
          <w:szCs w:val="20"/>
          <w:color w:val="auto"/>
        </w:rPr>
      </w:pPr>
    </w:p>
    <w:p>
      <w:pPr>
        <w:ind w:left="500" w:hanging="495"/>
        <w:spacing w:after="0"/>
        <w:tabs>
          <w:tab w:leader="none" w:pos="500"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interest in the Company constituting shares, voting rights or ultimate effective control over management in the Company is currently subject to a restrictions notice.</w:t>
      </w:r>
    </w:p>
    <w:p>
      <w:pPr>
        <w:spacing w:after="0" w:line="18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color w:val="auto"/>
        </w:rPr>
        <w:t>I confirm that you may continue to rely on this Certificate as being true and correct on the day that you issue the Opinion unless I shall have previously notified you personally to the contrary.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44"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Signature:</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Dengfeng Yin</w:t>
            </w:r>
          </w:p>
        </w:tc>
      </w:tr>
      <w:tr>
        <w:trPr>
          <w:trHeight w:val="147"/>
        </w:trPr>
        <w:tc>
          <w:tcPr>
            <w:tcW w:w="9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Name:</w:t>
            </w:r>
          </w:p>
        </w:tc>
        <w:tc>
          <w:tcPr>
            <w:tcW w:w="47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Dengfeng Yin</w:t>
            </w:r>
          </w:p>
        </w:tc>
      </w:tr>
      <w:tr>
        <w:trPr>
          <w:trHeight w:val="18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089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44" w:right="31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4"/>
          <w:szCs w:val="14"/>
          <w:b w:val="1"/>
          <w:bCs w:val="1"/>
          <w:color w:val="auto"/>
        </w:rPr>
        <w:t>Exhibit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125095</wp:posOffset>
            </wp:positionV>
            <wp:extent cx="2066290" cy="2101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2066290" cy="21018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FANGDA PARTNERS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http://www.fangdalaw.com</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line="160" w:lineRule="exact"/>
              <w:rPr>
                <w:sz w:val="20"/>
                <w:szCs w:val="20"/>
                <w:color w:val="auto"/>
              </w:rPr>
            </w:pPr>
            <w:r>
              <w:rPr>
                <w:rFonts w:ascii="SimSun" w:cs="SimSun" w:eastAsia="SimSun" w:hAnsi="SimSun"/>
                <w:sz w:val="14"/>
                <w:szCs w:val="14"/>
                <w:color w:val="auto"/>
              </w:rPr>
              <w:t>中国北京市朝阳区光华路一号</w:t>
            </w:r>
          </w:p>
        </w:tc>
        <w:tc>
          <w:tcPr>
            <w:tcW w:w="3160" w:type="dxa"/>
            <w:vAlign w:val="bottom"/>
          </w:tcPr>
          <w:p>
            <w:pPr>
              <w:ind w:left="2480"/>
              <w:spacing w:after="0" w:line="160" w:lineRule="exact"/>
              <w:rPr>
                <w:sz w:val="20"/>
                <w:szCs w:val="20"/>
                <w:color w:val="auto"/>
              </w:rPr>
            </w:pPr>
            <w:r>
              <w:rPr>
                <w:rFonts w:ascii="SimSun" w:cs="SimSun" w:eastAsia="SimSun" w:hAnsi="SimSun"/>
                <w:sz w:val="14"/>
                <w:szCs w:val="14"/>
                <w:color w:val="auto"/>
              </w:rPr>
              <w:t>电子邮件</w:t>
            </w: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E-mail:</w:t>
            </w:r>
          </w:p>
        </w:tc>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8"/>
              </w:rPr>
              <w:t>email@fangdalaw.com</w:t>
            </w:r>
          </w:p>
        </w:tc>
      </w:tr>
      <w:tr>
        <w:trPr>
          <w:trHeight w:val="200"/>
        </w:trPr>
        <w:tc>
          <w:tcPr>
            <w:tcW w:w="4300" w:type="dxa"/>
            <w:vAlign w:val="bottom"/>
          </w:tcPr>
          <w:p>
            <w:pPr>
              <w:spacing w:after="0" w:line="171" w:lineRule="exact"/>
              <w:rPr>
                <w:sz w:val="20"/>
                <w:szCs w:val="20"/>
                <w:color w:val="auto"/>
              </w:rPr>
            </w:pPr>
            <w:r>
              <w:rPr>
                <w:rFonts w:ascii="SimSun" w:cs="SimSun" w:eastAsia="SimSun" w:hAnsi="SimSun"/>
                <w:sz w:val="14"/>
                <w:szCs w:val="14"/>
                <w:color w:val="auto"/>
              </w:rPr>
              <w:t>北京嘉里中心北楼</w:t>
            </w:r>
            <w:r>
              <w:rPr>
                <w:rFonts w:ascii="Times New Roman" w:cs="Times New Roman" w:eastAsia="Times New Roman" w:hAnsi="Times New Roman"/>
                <w:sz w:val="14"/>
                <w:szCs w:val="14"/>
                <w:color w:val="auto"/>
              </w:rPr>
              <w:t>27</w:t>
            </w:r>
            <w:r>
              <w:rPr>
                <w:rFonts w:ascii="SimSun" w:cs="SimSun" w:eastAsia="SimSun" w:hAnsi="SimSun"/>
                <w:sz w:val="14"/>
                <w:szCs w:val="14"/>
                <w:color w:val="auto"/>
              </w:rPr>
              <w:t>层</w:t>
            </w:r>
          </w:p>
        </w:tc>
        <w:tc>
          <w:tcPr>
            <w:tcW w:w="3160" w:type="dxa"/>
            <w:vAlign w:val="bottom"/>
          </w:tcPr>
          <w:p>
            <w:pPr>
              <w:ind w:left="2480"/>
              <w:spacing w:after="0" w:line="160" w:lineRule="exact"/>
              <w:rPr>
                <w:sz w:val="20"/>
                <w:szCs w:val="20"/>
                <w:color w:val="auto"/>
              </w:rPr>
            </w:pPr>
            <w:r>
              <w:rPr>
                <w:rFonts w:ascii="SimSun" w:cs="SimSun" w:eastAsia="SimSun" w:hAnsi="SimSun"/>
                <w:sz w:val="14"/>
                <w:szCs w:val="14"/>
                <w:color w:val="auto"/>
              </w:rPr>
              <w:t>电 话</w:t>
            </w: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Tel.:</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86-10-5769-5600</w:t>
            </w:r>
          </w:p>
        </w:tc>
      </w:tr>
      <w:tr>
        <w:trPr>
          <w:trHeight w:val="195"/>
        </w:trPr>
        <w:tc>
          <w:tcPr>
            <w:tcW w:w="4300" w:type="dxa"/>
            <w:vAlign w:val="bottom"/>
          </w:tcPr>
          <w:p>
            <w:pPr>
              <w:spacing w:after="0" w:line="171" w:lineRule="exact"/>
              <w:rPr>
                <w:sz w:val="20"/>
                <w:szCs w:val="20"/>
                <w:color w:val="auto"/>
              </w:rPr>
            </w:pPr>
            <w:r>
              <w:rPr>
                <w:rFonts w:ascii="SimSun" w:cs="SimSun" w:eastAsia="SimSun" w:hAnsi="SimSun"/>
                <w:sz w:val="14"/>
                <w:szCs w:val="14"/>
                <w:color w:val="auto"/>
              </w:rPr>
              <w:t>邮政编码：</w:t>
            </w:r>
            <w:r>
              <w:rPr>
                <w:rFonts w:ascii="Times New Roman" w:cs="Times New Roman" w:eastAsia="Times New Roman" w:hAnsi="Times New Roman"/>
                <w:sz w:val="14"/>
                <w:szCs w:val="14"/>
                <w:color w:val="auto"/>
              </w:rPr>
              <w:t>100020</w:t>
            </w:r>
          </w:p>
        </w:tc>
        <w:tc>
          <w:tcPr>
            <w:tcW w:w="3160" w:type="dxa"/>
            <w:vAlign w:val="bottom"/>
          </w:tcPr>
          <w:p>
            <w:pPr>
              <w:ind w:left="2480"/>
              <w:spacing w:after="0" w:line="160" w:lineRule="exact"/>
              <w:rPr>
                <w:sz w:val="20"/>
                <w:szCs w:val="20"/>
                <w:color w:val="auto"/>
              </w:rPr>
            </w:pPr>
            <w:r>
              <w:rPr>
                <w:rFonts w:ascii="SimSun" w:cs="SimSun" w:eastAsia="SimSun" w:hAnsi="SimSun"/>
                <w:sz w:val="14"/>
                <w:szCs w:val="14"/>
                <w:color w:val="auto"/>
              </w:rPr>
              <w:t>传 真</w:t>
            </w: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Fax:</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86-10-5769-5799</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27/F, North Tower, Beijing Kerry Centre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Guanghua Road, Chaoyang District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Beijing 100020, PRC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Chagee Holdings Limited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Tower B, Hongqiao Lianhe Building,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No.99 Kaihong Road,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Changning District, Shanghai</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People’s Republic of China, 20051</w:t>
      </w:r>
    </w:p>
    <w:p>
      <w:pPr>
        <w:spacing w:after="0" w:line="1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June 5,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Sirs,</w:t>
      </w:r>
    </w:p>
    <w:p>
      <w:pPr>
        <w:spacing w:after="0" w:line="18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We hereby consent to the references to our firm under the headings “ENFORCEABILITY OF CIVIL LIABILITIES—PRC” in the Company’s registration statement on Form F-3 and the prospectus on the date hereof, including all amendments or supplements thereto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and further consent to the incorporation by reference of the summaries of our opinions that appear in the Registration Statement. We also consent to the filing with the SEC of this consent letter as an exhibit to the Registration Statement.</w:t>
      </w:r>
    </w:p>
    <w:p>
      <w:pPr>
        <w:spacing w:after="0" w:line="13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Yours faithfully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Fangda Partners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Fangda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358394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358394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352425</wp:posOffset>
            </wp:positionV>
            <wp:extent cx="716089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2"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4"/>
          <w:szCs w:val="14"/>
          <w:color w:val="auto"/>
        </w:rPr>
        <w:t>We consent to the use of our report dated April 29, 2026, with respect to the consolidated financial statements of Chagee Holdings Limited, incorporated herein by reference and to the reference to our firm under the heading “Experts” in the prospectus.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Huazhen LLP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Beijing, China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16089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307" w:right="319" w:bottom="1440" w:gutter="0" w:footer="0" w:header="0"/>
        </w:sectPr>
      </w:pPr>
    </w:p>
    <w:bookmarkStart w:id="50" w:name="page51"/>
    <w:bookmarkEnd w:id="50"/>
    <w:p>
      <w:pPr>
        <w:ind w:left="3460"/>
        <w:spacing w:after="0"/>
        <w:rPr>
          <w:sz w:val="20"/>
          <w:szCs w:val="20"/>
          <w:color w:val="auto"/>
        </w:rPr>
      </w:pPr>
      <w:r>
        <w:rPr>
          <w:rFonts w:ascii="Arial" w:cs="Arial" w:eastAsia="Arial" w:hAnsi="Arial"/>
          <w:sz w:val="28"/>
          <w:szCs w:val="28"/>
          <w:b w:val="1"/>
          <w:bCs w:val="1"/>
          <w:color w:val="auto"/>
        </w:rPr>
        <w:t>Calculation of Filing Fee Tables</w:t>
      </w:r>
    </w:p>
    <w:p>
      <w:pPr>
        <w:spacing w:after="0" w:line="179"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F-3</w:t>
      </w:r>
    </w:p>
    <w:p>
      <w:pPr>
        <w:spacing w:after="0" w:line="105" w:lineRule="exact"/>
        <w:rPr>
          <w:sz w:val="20"/>
          <w:szCs w:val="20"/>
          <w:color w:val="auto"/>
        </w:rPr>
      </w:pPr>
    </w:p>
    <w:p>
      <w:pPr>
        <w:jc w:val="center"/>
        <w:ind w:right="220"/>
        <w:spacing w:after="0"/>
        <w:rPr>
          <w:sz w:val="20"/>
          <w:szCs w:val="20"/>
          <w:color w:val="auto"/>
        </w:rPr>
      </w:pPr>
      <w:r>
        <w:rPr>
          <w:rFonts w:ascii="Arial" w:cs="Arial" w:eastAsia="Arial" w:hAnsi="Arial"/>
          <w:sz w:val="28"/>
          <w:szCs w:val="28"/>
          <w:b w:val="1"/>
          <w:bCs w:val="1"/>
          <w:color w:val="auto"/>
        </w:rPr>
        <w:t>Chagee Holdings Ltd.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Paid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Connection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92"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880" w:type="dxa"/>
            <w:vAlign w:val="bottom"/>
            <w:shd w:val="clear" w:color="auto" w:fill="9ADAF6"/>
          </w:tcPr>
          <w:p>
            <w:pPr>
              <w:ind w:left="100"/>
              <w:spacing w:after="0" w:line="192"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with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60"/>
              <w:spacing w:after="0" w:line="192"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880" w:type="dxa"/>
            <w:vAlign w:val="bottom"/>
            <w:shd w:val="clear" w:color="auto" w:fill="9ADAF6"/>
          </w:tcPr>
          <w:p>
            <w:pPr>
              <w:ind w:left="20"/>
              <w:spacing w:after="0" w:line="192" w:lineRule="exact"/>
              <w:rPr>
                <w:sz w:val="20"/>
                <w:szCs w:val="20"/>
                <w:color w:val="auto"/>
              </w:rPr>
            </w:pPr>
            <w:r>
              <w:rPr>
                <w:rFonts w:ascii="Arial" w:cs="Arial" w:eastAsia="Arial" w:hAnsi="Arial"/>
                <w:sz w:val="17"/>
                <w:szCs w:val="17"/>
                <w:b w:val="1"/>
                <w:bCs w:val="1"/>
                <w:color w:val="auto"/>
                <w:w w:val="98"/>
              </w:rPr>
              <w:t>Class Title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Carried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0" w:type="dxa"/>
            <w:vAlign w:val="bottom"/>
            <w:gridSpan w:val="7"/>
          </w:tcPr>
          <w:p>
            <w:pPr>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88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share, par</w:t>
            </w:r>
          </w:p>
        </w:tc>
        <w:tc>
          <w:tcPr>
            <w:tcW w:w="20" w:type="dxa"/>
            <w:vAlign w:val="bottom"/>
          </w:tcPr>
          <w:p>
            <w:pPr>
              <w:spacing w:after="0"/>
              <w:rPr>
                <w:sz w:val="16"/>
                <w:szCs w:val="16"/>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restart"/>
            <w:shd w:val="clear" w:color="auto" w:fill="E7E7E2"/>
          </w:tcPr>
          <w:p>
            <w:pPr>
              <w:spacing w:after="0" w:line="192"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restart"/>
            <w:shd w:val="clear" w:color="auto" w:fill="E7E7E2"/>
          </w:tcPr>
          <w:p>
            <w:pPr>
              <w:spacing w:after="0" w:line="192"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US$0.0001</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-2163445</wp:posOffset>
            </wp:positionV>
            <wp:extent cx="7212965" cy="3718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212965" cy="37185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Fees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Previously</w:t>
      </w:r>
    </w:p>
    <w:p>
      <w:pPr>
        <w:ind w:left="40"/>
        <w:spacing w:after="0"/>
        <w:rPr>
          <w:sz w:val="20"/>
          <w:szCs w:val="20"/>
          <w:color w:val="auto"/>
        </w:rPr>
      </w:pPr>
      <w:r>
        <w:rPr>
          <w:rFonts w:ascii="Arial" w:cs="Arial" w:eastAsia="Arial" w:hAnsi="Arial"/>
          <w:sz w:val="17"/>
          <w:szCs w:val="17"/>
          <w:color w:val="auto"/>
        </w:rPr>
        <w:t>Paid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Carry Forward Securities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Carry</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Forward</w:t>
      </w:r>
    </w:p>
    <w:p>
      <w:pPr>
        <w:ind w:left="40"/>
        <w:spacing w:after="0"/>
        <w:rPr>
          <w:sz w:val="20"/>
          <w:szCs w:val="20"/>
          <w:color w:val="auto"/>
        </w:rPr>
      </w:pPr>
      <w:r>
        <w:rPr>
          <w:rFonts w:ascii="Arial" w:cs="Arial" w:eastAsia="Arial" w:hAnsi="Arial"/>
          <w:sz w:val="17"/>
          <w:szCs w:val="17"/>
          <w:color w:val="auto"/>
        </w:rPr>
        <w:t>Securities</w:t>
      </w:r>
    </w:p>
    <w:p>
      <w:pPr>
        <w:spacing w:after="0" w:line="23" w:lineRule="exact"/>
        <w:rPr>
          <w:sz w:val="20"/>
          <w:szCs w:val="20"/>
          <w:color w:val="auto"/>
        </w:rPr>
      </w:pPr>
    </w:p>
    <w:tbl>
      <w:tblPr>
        <w:tblLayout w:type="fixed"/>
        <w:tblInd w:w="2440" w:type="dxa"/>
        <w:tblCellMar>
          <w:top w:w="0" w:type="dxa"/>
          <w:left w:w="0" w:type="dxa"/>
          <w:bottom w:w="0" w:type="dxa"/>
          <w:right w:w="0" w:type="dxa"/>
        </w:tblCellMar>
      </w:tblPr>
      <w:tr>
        <w:trPr>
          <w:trHeight w:val="224"/>
        </w:trPr>
        <w:tc>
          <w:tcPr>
            <w:tcW w:w="2700" w:type="dxa"/>
            <w:vAlign w:val="bottom"/>
          </w:tcPr>
          <w:p>
            <w:pPr>
              <w:jc w:val="right"/>
              <w:ind w:right="555"/>
              <w:spacing w:after="0"/>
              <w:rPr>
                <w:sz w:val="20"/>
                <w:szCs w:val="20"/>
                <w:color w:val="auto"/>
              </w:rPr>
            </w:pPr>
            <w:r>
              <w:rPr>
                <w:rFonts w:ascii="Arial" w:cs="Arial" w:eastAsia="Arial" w:hAnsi="Arial"/>
                <w:sz w:val="17"/>
                <w:szCs w:val="17"/>
                <w:color w:val="auto"/>
              </w:rPr>
              <w:t>Total Offering Amounts:</w:t>
            </w:r>
          </w:p>
        </w:tc>
        <w:tc>
          <w:tcPr>
            <w:tcW w:w="1800" w:type="dxa"/>
            <w:vAlign w:val="bottom"/>
          </w:tcPr>
          <w:p>
            <w:pPr>
              <w:jc w:val="right"/>
              <w:ind w:right="615"/>
              <w:spacing w:after="0"/>
              <w:rPr>
                <w:sz w:val="20"/>
                <w:szCs w:val="20"/>
                <w:color w:val="auto"/>
              </w:rPr>
            </w:pPr>
            <w:r>
              <w:rPr>
                <w:rFonts w:ascii="Arial" w:cs="Arial" w:eastAsia="Arial" w:hAnsi="Arial"/>
                <w:sz w:val="17"/>
                <w:szCs w:val="17"/>
                <w:color w:val="auto"/>
              </w:rPr>
              <w:t>$ 0.00</w:t>
            </w:r>
          </w:p>
        </w:tc>
        <w:tc>
          <w:tcPr>
            <w:tcW w:w="120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5"/>
        </w:trPr>
        <w:tc>
          <w:tcPr>
            <w:tcW w:w="2700" w:type="dxa"/>
            <w:vAlign w:val="bottom"/>
          </w:tcPr>
          <w:p>
            <w:pPr>
              <w:jc w:val="right"/>
              <w:ind w:right="555"/>
              <w:spacing w:after="0"/>
              <w:rPr>
                <w:sz w:val="20"/>
                <w:szCs w:val="20"/>
                <w:color w:val="auto"/>
              </w:rPr>
            </w:pPr>
            <w:r>
              <w:rPr>
                <w:rFonts w:ascii="Arial" w:cs="Arial" w:eastAsia="Arial" w:hAnsi="Arial"/>
                <w:sz w:val="17"/>
                <w:szCs w:val="17"/>
                <w:color w:val="auto"/>
                <w:w w:val="98"/>
              </w:rPr>
              <w:t>Total Fees Previously Paid:</w:t>
            </w:r>
          </w:p>
        </w:tc>
        <w:tc>
          <w:tcPr>
            <w:tcW w:w="18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5"/>
        </w:trPr>
        <w:tc>
          <w:tcPr>
            <w:tcW w:w="2700" w:type="dxa"/>
            <w:vAlign w:val="bottom"/>
          </w:tcPr>
          <w:p>
            <w:pPr>
              <w:jc w:val="right"/>
              <w:ind w:right="555"/>
              <w:spacing w:after="0"/>
              <w:rPr>
                <w:sz w:val="20"/>
                <w:szCs w:val="20"/>
                <w:color w:val="auto"/>
              </w:rPr>
            </w:pPr>
            <w:r>
              <w:rPr>
                <w:rFonts w:ascii="Arial" w:cs="Arial" w:eastAsia="Arial" w:hAnsi="Arial"/>
                <w:sz w:val="17"/>
                <w:szCs w:val="17"/>
                <w:color w:val="auto"/>
              </w:rPr>
              <w:t>Total Fee Offsets:</w:t>
            </w:r>
          </w:p>
        </w:tc>
        <w:tc>
          <w:tcPr>
            <w:tcW w:w="18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5"/>
        </w:trPr>
        <w:tc>
          <w:tcPr>
            <w:tcW w:w="2700" w:type="dxa"/>
            <w:vAlign w:val="bottom"/>
          </w:tcPr>
          <w:p>
            <w:pPr>
              <w:jc w:val="right"/>
              <w:ind w:right="555"/>
              <w:spacing w:after="0"/>
              <w:rPr>
                <w:sz w:val="20"/>
                <w:szCs w:val="20"/>
                <w:color w:val="auto"/>
              </w:rPr>
            </w:pPr>
            <w:r>
              <w:rPr>
                <w:rFonts w:ascii="Arial" w:cs="Arial" w:eastAsia="Arial" w:hAnsi="Arial"/>
                <w:sz w:val="17"/>
                <w:szCs w:val="17"/>
                <w:color w:val="auto"/>
              </w:rPr>
              <w:t>Net Fee Due:</w:t>
            </w:r>
          </w:p>
        </w:tc>
        <w:tc>
          <w:tcPr>
            <w:tcW w:w="18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$ 0.00</w:t>
            </w:r>
          </w:p>
        </w:tc>
      </w:tr>
    </w:tbl>
    <w:p>
      <w:pPr>
        <w:spacing w:after="0" w:line="25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5" w:lineRule="exact"/>
        <w:rPr>
          <w:sz w:val="20"/>
          <w:szCs w:val="20"/>
          <w:color w:val="auto"/>
        </w:rPr>
      </w:pPr>
    </w:p>
    <w:p>
      <w:pPr>
        <w:jc w:val="both"/>
        <w:ind w:left="220" w:right="600"/>
        <w:spacing w:after="0" w:line="271" w:lineRule="auto"/>
        <w:rPr>
          <w:sz w:val="20"/>
          <w:szCs w:val="20"/>
          <w:color w:val="auto"/>
        </w:rPr>
      </w:pPr>
      <w:r>
        <w:rPr>
          <w:rFonts w:ascii="Arial" w:cs="Arial" w:eastAsia="Arial" w:hAnsi="Arial"/>
          <w:sz w:val="17"/>
          <w:szCs w:val="17"/>
          <w:color w:val="auto"/>
        </w:rPr>
        <w:t>American depositary shares issuable upon deposit of the Class A ordinary shares registered hereby have been registered under a separate registration statement on Form F-6 (Registration No. 333-286358). Each American depositary share represents one Class A ordinary share.</w:t>
      </w:r>
    </w:p>
    <w:p>
      <w:pPr>
        <w:spacing w:after="0" w:line="135" w:lineRule="exact"/>
        <w:rPr>
          <w:sz w:val="20"/>
          <w:szCs w:val="20"/>
          <w:color w:val="auto"/>
        </w:rPr>
      </w:pPr>
    </w:p>
    <w:p>
      <w:pPr>
        <w:ind w:left="220" w:right="200"/>
        <w:spacing w:after="0" w:line="271" w:lineRule="auto"/>
        <w:rPr>
          <w:sz w:val="20"/>
          <w:szCs w:val="20"/>
          <w:color w:val="auto"/>
        </w:rPr>
      </w:pPr>
      <w:r>
        <w:rPr>
          <w:rFonts w:ascii="Arial" w:cs="Arial" w:eastAsia="Arial" w:hAnsi="Arial"/>
          <w:sz w:val="17"/>
          <w:szCs w:val="17"/>
          <w:color w:val="auto"/>
        </w:rPr>
        <w:t>An indeterminate aggregate number of securities is being registered as may from time to time be sold at indeterminate prices. In accordance with Rules 456(b) and 457(r), the Registrant is deferring payment of all of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714565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45655" cy="3873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10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ind w:right="20"/>
              <w:spacing w:after="0" w:line="192"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ind w:left="4"/>
              <w:spacing w:after="0"/>
              <w:rPr>
                <w:sz w:val="20"/>
                <w:szCs w:val="20"/>
                <w:color w:val="auto"/>
              </w:rPr>
            </w:pPr>
            <w:r>
              <w:rPr>
                <w:rFonts w:ascii="Arial" w:cs="Arial" w:eastAsia="Arial" w:hAnsi="Arial"/>
                <w:sz w:val="17"/>
                <w:szCs w:val="17"/>
                <w:b w:val="1"/>
                <w:bCs w:val="1"/>
                <w:color w:val="auto"/>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ind w:left="4"/>
              <w:spacing w:after="0"/>
              <w:rPr>
                <w:sz w:val="20"/>
                <w:szCs w:val="20"/>
                <w:color w:val="auto"/>
              </w:rPr>
            </w:pPr>
            <w:r>
              <w:rPr>
                <w:rFonts w:ascii="Arial" w:cs="Arial" w:eastAsia="Arial" w:hAnsi="Arial"/>
                <w:sz w:val="17"/>
                <w:szCs w:val="17"/>
                <w:b w:val="1"/>
                <w:bCs w:val="1"/>
                <w:color w:val="auto"/>
              </w:rPr>
              <w:t>Fee</w:t>
            </w: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tcBorders>
              <w:right w:val="single" w:sz="8" w:color="9ADAF6"/>
            </w:tcBorders>
            <w:gridSpan w:val="2"/>
            <w:vMerge w:val="restart"/>
            <w:shd w:val="clear" w:color="auto" w:fill="9ADAF6"/>
          </w:tcPr>
          <w:p>
            <w:pPr>
              <w:jc w:val="center"/>
              <w:ind w:right="20"/>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gridSpan w:val="3"/>
            <w:shd w:val="clear" w:color="auto" w:fill="9ADAF6"/>
          </w:tcPr>
          <w:p>
            <w:pPr>
              <w:jc w:val="center"/>
              <w:ind w:left="4"/>
              <w:spacing w:after="0" w:line="112" w:lineRule="exact"/>
              <w:rPr>
                <w:sz w:val="20"/>
                <w:szCs w:val="20"/>
                <w:color w:val="auto"/>
              </w:rPr>
            </w:pPr>
            <w:r>
              <w:rPr>
                <w:rFonts w:ascii="Arial" w:cs="Arial" w:eastAsia="Arial" w:hAnsi="Arial"/>
                <w:sz w:val="12"/>
                <w:szCs w:val="12"/>
                <w:b w:val="1"/>
                <w:bCs w:val="1"/>
                <w:color w:val="auto"/>
              </w:rPr>
              <w:t>Filing</w:t>
            </w:r>
          </w:p>
        </w:tc>
        <w:tc>
          <w:tcPr>
            <w:tcW w:w="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gridSpan w:val="3"/>
            <w:shd w:val="clear" w:color="auto" w:fill="9ADAF6"/>
          </w:tcPr>
          <w:p>
            <w:pPr>
              <w:jc w:val="center"/>
              <w:ind w:left="4"/>
              <w:spacing w:after="0" w:line="112" w:lineRule="exact"/>
              <w:rPr>
                <w:sz w:val="20"/>
                <w:szCs w:val="20"/>
                <w:color w:val="auto"/>
              </w:rPr>
            </w:pPr>
            <w:r>
              <w:rPr>
                <w:rFonts w:ascii="Arial" w:cs="Arial" w:eastAsia="Arial" w:hAnsi="Arial"/>
                <w:sz w:val="12"/>
                <w:szCs w:val="12"/>
                <w:b w:val="1"/>
                <w:bCs w:val="1"/>
                <w:color w:val="auto"/>
              </w:rPr>
              <w:t>Offset</w:t>
            </w:r>
          </w:p>
        </w:tc>
        <w:tc>
          <w:tcPr>
            <w:tcW w:w="80" w:type="dxa"/>
            <w:vAlign w:val="bottom"/>
            <w:tcBorders>
              <w:right w:val="single" w:sz="8" w:color="9ADAF6"/>
            </w:tcBorders>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9ADAF6"/>
            </w:tcBorders>
            <w:gridSpan w:val="2"/>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continue"/>
            <w:shd w:val="clear" w:color="auto" w:fill="9ADAF6"/>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44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5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1200" w:type="dxa"/>
            <w:vAlign w:val="bottom"/>
            <w:shd w:val="clear" w:color="auto" w:fill="9ADAF6"/>
          </w:tcPr>
          <w:p>
            <w:pPr>
              <w:jc w:val="center"/>
              <w:ind w:right="295"/>
              <w:spacing w:after="0"/>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21"/>
                <w:szCs w:val="21"/>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21"/>
                <w:szCs w:val="21"/>
                <w:color w:val="auto"/>
              </w:rPr>
            </w:pPr>
          </w:p>
        </w:tc>
        <w:tc>
          <w:tcPr>
            <w:tcW w:w="540" w:type="dxa"/>
            <w:vAlign w:val="bottom"/>
            <w:gridSpan w:val="3"/>
            <w:shd w:val="clear" w:color="auto" w:fill="9ADAF6"/>
          </w:tcPr>
          <w:p>
            <w:pPr>
              <w:jc w:val="center"/>
              <w:ind w:left="4"/>
              <w:spacing w:after="0"/>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21"/>
                <w:szCs w:val="21"/>
                <w:color w:val="auto"/>
              </w:rPr>
            </w:pPr>
          </w:p>
        </w:tc>
        <w:tc>
          <w:tcPr>
            <w:tcW w:w="700" w:type="dxa"/>
            <w:vAlign w:val="bottom"/>
            <w:tcBorders>
              <w:right w:val="single" w:sz="8" w:color="9ADAF6"/>
            </w:tcBorders>
            <w:gridSpan w:val="4"/>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21"/>
                <w:szCs w:val="21"/>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40" w:type="dxa"/>
            <w:vAlign w:val="bottom"/>
            <w:tcBorders>
              <w:right w:val="single" w:sz="8" w:color="9ADAF6"/>
            </w:tcBorders>
            <w:gridSpan w:val="2"/>
            <w:shd w:val="clear" w:color="auto" w:fill="9ADAF6"/>
          </w:tcPr>
          <w:p>
            <w:pPr>
              <w:jc w:val="center"/>
              <w:ind w:right="20"/>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4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21"/>
                <w:szCs w:val="21"/>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8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tcBorders>
              <w:right w:val="single" w:sz="8" w:color="9ADAF6"/>
            </w:tcBorders>
            <w:gridSpan w:val="2"/>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10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5"/>
          </w:tcPr>
          <w:p>
            <w:pPr>
              <w:jc w:val="center"/>
              <w:ind w:right="217"/>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0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8"/>
          </w:tcPr>
          <w:p>
            <w:pPr>
              <w:jc w:val="center"/>
              <w:ind w:right="220"/>
              <w:spacing w:after="0"/>
              <w:rPr>
                <w:sz w:val="20"/>
                <w:szCs w:val="20"/>
                <w:color w:val="auto"/>
              </w:rPr>
            </w:pPr>
            <w:r>
              <w:rPr>
                <w:rFonts w:ascii="Arial" w:cs="Arial" w:eastAsia="Arial" w:hAnsi="Arial"/>
                <w:sz w:val="17"/>
                <w:szCs w:val="17"/>
                <w:b w:val="1"/>
                <w:bCs w:val="1"/>
                <w:color w:val="auto"/>
              </w:rPr>
              <w:t>Rule 457(p)</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0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1240" w:type="dxa"/>
            <w:vAlign w:val="bottom"/>
            <w:gridSpan w:val="5"/>
            <w:shd w:val="clear" w:color="auto" w:fill="9ADAF6"/>
          </w:tcPr>
          <w:p>
            <w:pPr>
              <w:ind w:left="2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1820" w:type="dxa"/>
            <w:vAlign w:val="bottom"/>
            <w:gridSpan w:val="4"/>
            <w:shd w:val="clear" w:color="auto" w:fill="9ADAF6"/>
          </w:tcPr>
          <w:p>
            <w:pPr>
              <w:jc w:val="center"/>
              <w:ind w:right="78"/>
              <w:spacing w:after="0"/>
              <w:rPr>
                <w:sz w:val="20"/>
                <w:szCs w:val="20"/>
                <w:color w:val="auto"/>
              </w:rPr>
            </w:pPr>
            <w:r>
              <w:rPr>
                <w:rFonts w:ascii="Arial" w:cs="Arial" w:eastAsia="Arial" w:hAnsi="Arial"/>
                <w:sz w:val="17"/>
                <w:szCs w:val="17"/>
                <w:b w:val="1"/>
                <w:bCs w:val="1"/>
                <w:color w:val="auto"/>
                <w:w w:val="99"/>
              </w:rPr>
              <w:t>Maximum Aggregate</w:t>
            </w:r>
          </w:p>
        </w:tc>
        <w:tc>
          <w:tcPr>
            <w:tcW w:w="10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1240" w:type="dxa"/>
            <w:vAlign w:val="bottom"/>
            <w:gridSpan w:val="5"/>
            <w:vMerge w:val="restart"/>
            <w:shd w:val="clear" w:color="auto" w:fill="9ADAF6"/>
          </w:tcPr>
          <w:p>
            <w:pPr>
              <w:ind w:left="40"/>
              <w:spacing w:after="0" w:line="192"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00" w:type="dxa"/>
            <w:vAlign w:val="bottom"/>
            <w:gridSpan w:val="3"/>
            <w:vMerge w:val="restart"/>
            <w:shd w:val="clear" w:color="auto" w:fill="9ADAF6"/>
          </w:tcPr>
          <w:p>
            <w:pPr>
              <w:jc w:val="center"/>
              <w:ind w:right="118"/>
              <w:spacing w:after="0" w:line="192" w:lineRule="exact"/>
              <w:rPr>
                <w:sz w:val="20"/>
                <w:szCs w:val="20"/>
                <w:color w:val="auto"/>
              </w:rPr>
            </w:pPr>
            <w:r>
              <w:rPr>
                <w:rFonts w:ascii="Arial" w:cs="Arial" w:eastAsia="Arial" w:hAnsi="Arial"/>
                <w:sz w:val="17"/>
                <w:szCs w:val="17"/>
                <w:b w:val="1"/>
                <w:bCs w:val="1"/>
                <w:color w:val="auto"/>
                <w:w w:val="99"/>
              </w:rPr>
              <w:t>Offering Price of</w:t>
            </w:r>
          </w:p>
        </w:tc>
        <w:tc>
          <w:tcPr>
            <w:tcW w:w="10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40"/>
              <w:spacing w:after="0" w:line="192"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2"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00" w:type="dxa"/>
            <w:vAlign w:val="bottom"/>
            <w:gridSpan w:val="5"/>
            <w:vMerge w:val="restart"/>
            <w:shd w:val="clear" w:color="auto" w:fill="9ADAF6"/>
          </w:tcPr>
          <w:p>
            <w:pPr>
              <w:ind w:left="620"/>
              <w:spacing w:after="0" w:line="192"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00" w:type="dxa"/>
            <w:vAlign w:val="bottom"/>
            <w:gridSpan w:val="3"/>
            <w:vMerge w:val="continue"/>
            <w:shd w:val="clear" w:color="auto" w:fill="9ADAF6"/>
          </w:tcPr>
          <w:p>
            <w:pPr>
              <w:spacing w:after="0"/>
              <w:rPr>
                <w:sz w:val="8"/>
                <w:szCs w:val="8"/>
                <w:color w:val="auto"/>
              </w:rPr>
            </w:pPr>
          </w:p>
        </w:tc>
        <w:tc>
          <w:tcPr>
            <w:tcW w:w="10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60"/>
              <w:spacing w:after="0" w:line="192"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2"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1240" w:type="dxa"/>
            <w:vAlign w:val="bottom"/>
            <w:gridSpan w:val="5"/>
            <w:vMerge w:val="restart"/>
            <w:shd w:val="clear" w:color="auto" w:fill="9ADAF6"/>
          </w:tcPr>
          <w:p>
            <w:pPr>
              <w:ind w:left="20"/>
              <w:spacing w:after="0" w:line="192"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1900" w:type="dxa"/>
            <w:vAlign w:val="bottom"/>
            <w:gridSpan w:val="5"/>
            <w:vMerge w:val="restart"/>
            <w:shd w:val="clear" w:color="auto" w:fill="9ADAF6"/>
          </w:tcPr>
          <w:p>
            <w:pPr>
              <w:jc w:val="center"/>
              <w:ind w:right="18"/>
              <w:spacing w:after="0" w:line="192" w:lineRule="exact"/>
              <w:rPr>
                <w:sz w:val="20"/>
                <w:szCs w:val="20"/>
                <w:color w:val="auto"/>
              </w:rPr>
            </w:pPr>
            <w:r>
              <w:rPr>
                <w:rFonts w:ascii="Arial" w:cs="Arial" w:eastAsia="Arial" w:hAnsi="Arial"/>
                <w:sz w:val="17"/>
                <w:szCs w:val="17"/>
                <w:b w:val="1"/>
                <w:bCs w:val="1"/>
                <w:color w:val="auto"/>
                <w:w w:val="99"/>
              </w:rPr>
              <w:t>Securities Previously</w:t>
            </w:r>
          </w:p>
        </w:tc>
        <w:tc>
          <w:tcPr>
            <w:tcW w:w="10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60"/>
              <w:spacing w:after="0" w:line="192"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1900" w:type="dxa"/>
            <w:vAlign w:val="bottom"/>
            <w:gridSpan w:val="5"/>
            <w:vMerge w:val="continue"/>
            <w:shd w:val="clear" w:color="auto" w:fill="9ADAF6"/>
          </w:tcPr>
          <w:p>
            <w:pPr>
              <w:spacing w:after="0"/>
              <w:rPr>
                <w:sz w:val="8"/>
                <w:szCs w:val="8"/>
                <w:color w:val="auto"/>
              </w:rPr>
            </w:pPr>
          </w:p>
        </w:tc>
        <w:tc>
          <w:tcPr>
            <w:tcW w:w="10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8"/>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8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1240" w:type="dxa"/>
            <w:vAlign w:val="bottom"/>
            <w:gridSpan w:val="5"/>
            <w:vMerge w:val="restart"/>
            <w:shd w:val="clear" w:color="auto" w:fill="9ADAF6"/>
          </w:tcPr>
          <w:p>
            <w:pP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100" w:type="dxa"/>
            <w:vAlign w:val="bottom"/>
            <w:shd w:val="clear" w:color="auto" w:fill="9ADAF6"/>
          </w:tcPr>
          <w:p>
            <w:pPr>
              <w:spacing w:after="0"/>
              <w:rPr>
                <w:sz w:val="12"/>
                <w:szCs w:val="12"/>
                <w:color w:val="auto"/>
              </w:rPr>
            </w:pPr>
          </w:p>
        </w:tc>
        <w:tc>
          <w:tcPr>
            <w:tcW w:w="80" w:type="dxa"/>
            <w:vAlign w:val="bottom"/>
            <w:tcBorders>
              <w:right w:val="single" w:sz="8" w:color="9ADAF6"/>
            </w:tcBorders>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00" w:type="dxa"/>
            <w:vAlign w:val="bottom"/>
            <w:gridSpan w:val="3"/>
            <w:vMerge w:val="restart"/>
            <w:shd w:val="clear" w:color="auto" w:fill="9ADAF6"/>
          </w:tcPr>
          <w:p>
            <w:pPr>
              <w:jc w:val="center"/>
              <w:ind w:right="118"/>
              <w:spacing w:after="0"/>
              <w:rPr>
                <w:sz w:val="20"/>
                <w:szCs w:val="20"/>
                <w:color w:val="auto"/>
              </w:rPr>
            </w:pPr>
            <w:r>
              <w:rPr>
                <w:rFonts w:ascii="Arial" w:cs="Arial" w:eastAsia="Arial" w:hAnsi="Arial"/>
                <w:sz w:val="17"/>
                <w:szCs w:val="17"/>
                <w:b w:val="1"/>
                <w:bCs w:val="1"/>
                <w:color w:val="auto"/>
              </w:rPr>
              <w:t>Registered</w:t>
            </w:r>
          </w:p>
        </w:tc>
        <w:tc>
          <w:tcPr>
            <w:tcW w:w="100" w:type="dxa"/>
            <w:vAlign w:val="bottom"/>
            <w:tcBorders>
              <w:right w:val="single" w:sz="8" w:color="9ADAF6"/>
            </w:tcBorders>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00" w:type="dxa"/>
            <w:vAlign w:val="bottom"/>
            <w:tcBorders>
              <w:right w:val="single" w:sz="8" w:color="auto"/>
            </w:tcBorders>
            <w:gridSpan w:val="2"/>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124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8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00" w:type="dxa"/>
            <w:vAlign w:val="bottom"/>
            <w:gridSpan w:val="3"/>
            <w:vMerge w:val="continue"/>
            <w:shd w:val="clear" w:color="auto" w:fill="9ADAF6"/>
          </w:tcPr>
          <w:p>
            <w:pPr>
              <w:spacing w:after="0"/>
              <w:rPr>
                <w:sz w:val="7"/>
                <w:szCs w:val="7"/>
                <w:color w:val="auto"/>
              </w:rPr>
            </w:pPr>
          </w:p>
        </w:tc>
        <w:tc>
          <w:tcPr>
            <w:tcW w:w="10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40" w:type="dxa"/>
            <w:vAlign w:val="bottom"/>
            <w:tcBorders>
              <w:bottom w:val="single" w:sz="8" w:color="E7E7E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101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lowerLetter"/>
      <w:start w:val="3"/>
    </w:lvl>
  </w:abstractNum>
  <w:abstractNum w:abstractNumId="2">
    <w:nsid w:val="75A2A8D4"/>
    <w:multiLevelType w:val="hybridMultilevel"/>
    <w:lvl w:ilvl="0">
      <w:lvlJc w:val="left"/>
      <w:lvlText w:val="(%1)"/>
      <w:numFmt w:val="lowerLetter"/>
      <w:start w:val="2"/>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upperLetter"/>
      <w:start w:val="4"/>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lowerLetter"/>
      <w:start w:val="3"/>
    </w:lvl>
  </w:abstractNum>
  <w:abstractNum w:abstractNumId="7">
    <w:nsid w:val="189A769B"/>
    <w:multiLevelType w:val="hybridMultilevel"/>
    <w:lvl w:ilvl="0">
      <w:lvlJc w:val="left"/>
      <w:lvlText w:val="(%1)"/>
      <w:numFmt w:val="decimal"/>
      <w:start w:val="7"/>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decimal"/>
      <w:start w:val="2"/>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decimal"/>
      <w:start w:val="1"/>
    </w:lvl>
    <w:lvl w:ilvl="1">
      <w:lvlJc w:val="left"/>
      <w:lvlText w:val="(%2)"/>
      <w:numFmt w:val="lowerRoman"/>
      <w:start w:val="1"/>
    </w:lvl>
  </w:abstractNum>
  <w:abstractNum w:abstractNumId="28">
    <w:nsid w:val="77465F01"/>
    <w:multiLevelType w:val="hybridMultilevel"/>
    <w:lvl w:ilvl="0">
      <w:lvlJc w:val="left"/>
      <w:lvlText w:val="(%1)"/>
      <w:numFmt w:val="decimal"/>
      <w:start w:val="2"/>
    </w:lvl>
  </w:abstractNum>
  <w:abstractNum w:abstractNumId="29">
    <w:nsid w:val="7724C67E"/>
    <w:multiLevelType w:val="hybridMultilevel"/>
    <w:lvl w:ilvl="0">
      <w:lvlJc w:val="left"/>
      <w:lvlText w:val="%1"/>
      <w:numFmt w:val="decimal"/>
      <w:start w:val="1"/>
    </w:lvl>
    <w:lvl w:ilvl="1">
      <w:lvlJc w:val="left"/>
      <w:lvlText w:val="(%2)"/>
      <w:numFmt w:val="lowerRoman"/>
      <w:start w:val="1"/>
    </w:lvl>
  </w:abstractNum>
  <w:abstractNum w:abstractNumId="30">
    <w:nsid w:val="5C482A97"/>
    <w:multiLevelType w:val="hybridMultilevel"/>
    <w:lvl w:ilvl="0">
      <w:lvlJc w:val="left"/>
      <w:lvlText w:val="(%1)"/>
      <w:numFmt w:val="decimal"/>
      <w:start w:val="6"/>
    </w:lvl>
    <w:lvl w:ilvl="1">
      <w:lvlJc w:val="left"/>
      <w:lvlText w:val="%2"/>
      <w:numFmt w:val="lowerRoman"/>
      <w:start w:val="1"/>
    </w:lvl>
  </w:abstractNum>
  <w:abstractNum w:abstractNumId="31">
    <w:nsid w:val="2463B9EA"/>
    <w:multiLevelType w:val="hybridMultilevel"/>
    <w:lvl w:ilvl="0">
      <w:lvlJc w:val="left"/>
      <w:lvlText w:val="(%1)"/>
      <w:numFmt w:val="decimal"/>
      <w:start w:val="7"/>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1"/>
      <w:numFmt w:val="bullet"/>
      <w:start w:val="1"/>
    </w:lvl>
  </w:abstractNum>
  <w:abstractNum w:abstractNumId="34">
    <w:nsid w:val="2D517796"/>
    <w:multiLevelType w:val="hybridMultilevel"/>
    <w:lvl w:ilvl="0">
      <w:lvlJc w:val="left"/>
      <w:lvlText w:val="2"/>
      <w:numFmt w:val="bullet"/>
      <w:start w:val="1"/>
    </w:lvl>
  </w:abstractNum>
  <w:abstractNum w:abstractNumId="35">
    <w:nsid w:val="580BD78F"/>
    <w:multiLevelType w:val="hybridMultilevel"/>
    <w:lvl w:ilvl="0">
      <w:lvlJc w:val="left"/>
      <w:lvlText w:val="3"/>
      <w:numFmt w:val="bullet"/>
      <w:start w:val="1"/>
    </w:lvl>
  </w:abstractNum>
  <w:abstractNum w:abstractNumId="36">
    <w:nsid w:val="153EA438"/>
    <w:multiLevelType w:val="hybridMultilevel"/>
    <w:lvl w:ilvl="0">
      <w:lvlJc w:val="left"/>
      <w:lvlText w:val="4"/>
      <w:numFmt w:val="bullet"/>
      <w:start w:val="1"/>
    </w:lvl>
  </w:abstractNum>
  <w:abstractNum w:abstractNumId="37">
    <w:nsid w:val="3855585C"/>
    <w:multiLevelType w:val="hybridMultilevel"/>
    <w:lvl w:ilvl="0">
      <w:lvlJc w:val="left"/>
      <w:lvlText w:val="1"/>
      <w:numFmt w:val="bullet"/>
      <w:start w:val="1"/>
    </w:lvl>
  </w:abstractNum>
  <w:abstractNum w:abstractNumId="38">
    <w:nsid w:val="70A64E2A"/>
    <w:multiLevelType w:val="hybridMultilevel"/>
    <w:lvl w:ilvl="0">
      <w:lvlJc w:val="left"/>
      <w:lvlText w:val="2"/>
      <w:numFmt w:val="bullet"/>
      <w:start w:val="1"/>
    </w:lvl>
  </w:abstractNum>
  <w:abstractNum w:abstractNumId="39">
    <w:nsid w:val="6A2342EC"/>
    <w:multiLevelType w:val="hybridMultilevel"/>
    <w:lvl w:ilvl="0">
      <w:lvlJc w:val="left"/>
      <w:lvlText w:val="3"/>
      <w:numFmt w:val="bullet"/>
      <w:start w:val="1"/>
    </w:lvl>
  </w:abstractNum>
  <w:abstractNum w:abstractNumId="40">
    <w:nsid w:val="2A487CB0"/>
    <w:multiLevelType w:val="hybridMultilevel"/>
    <w:lvl w:ilvl="0">
      <w:lvlJc w:val="left"/>
      <w:lvlText w:val="4"/>
      <w:numFmt w:val="bullet"/>
      <w:start w:val="1"/>
    </w:lvl>
  </w:abstractNum>
  <w:abstractNum w:abstractNumId="41">
    <w:nsid w:val="1D4ED43B"/>
    <w:multiLevelType w:val="hybridMultilevel"/>
    <w:lvl w:ilvl="0">
      <w:lvlJc w:val="left"/>
      <w:lvlText w:val="5"/>
      <w:numFmt w:val="bullet"/>
      <w:start w:val="1"/>
    </w:lvl>
  </w:abstractNum>
  <w:abstractNum w:abstractNumId="42">
    <w:nsid w:val="725A06FB"/>
    <w:multiLevelType w:val="hybridMultilevel"/>
    <w:lvl w:ilvl="0">
      <w:lvlJc w:val="left"/>
      <w:lvlText w:val="6"/>
      <w:numFmt w:val="bullet"/>
      <w:start w:val="1"/>
    </w:lvl>
  </w:abstractNum>
  <w:abstractNum w:abstractNumId="43">
    <w:nsid w:val="2CD89A32"/>
    <w:multiLevelType w:val="hybridMultilevel"/>
    <w:lvl w:ilvl="0">
      <w:lvlJc w:val="left"/>
      <w:lvlText w:val="7"/>
      <w:numFmt w:val="bullet"/>
      <w:start w:val="1"/>
    </w:lvl>
  </w:abstractNum>
  <w:abstractNum w:abstractNumId="44">
    <w:nsid w:val="57E4CCAF"/>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jpe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jpe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37" Type="http://schemas.openxmlformats.org/officeDocument/2006/relationships/hyperlink" Target="https://www.sec.gov/ix?doc=/Archives/edgar/data/2013649/000110465926050766/cha-20251231x20f.htm" TargetMode="External"/><Relationship Id="rId64" Type="http://schemas.openxmlformats.org/officeDocument/2006/relationships/hyperlink" Target="https://www.sec.gov/Archives/edgar/data/2013649/000110465925033669/tm246985d32_8a12b.htm" TargetMode="External"/><Relationship Id="rId65" Type="http://schemas.openxmlformats.org/officeDocument/2006/relationships/hyperlink" Target="https://www.sec.gov/Archives/edgar/data/2013649/000110465926050766/cha-20251231xex2d5.htm" TargetMode="External"/><Relationship Id="rId70" Type="http://schemas.openxmlformats.org/officeDocument/2006/relationships/hyperlink" Target="https://www.sec.gov/Archives/edgar/data/2013649/000110465925027648/tm246985d24_ex3-2.htm" TargetMode="External"/><Relationship Id="rId71" Type="http://schemas.openxmlformats.org/officeDocument/2006/relationships/hyperlink" Target="https://www.sec.gov/Archives/edgar/data/2013649/000110465925027648/tm246985d24_ex4-2.htm" TargetMode="External"/><Relationship Id="rId72" Type="http://schemas.openxmlformats.org/officeDocument/2006/relationships/hyperlink" Target="https://www.sec.gov/Archives/edgar/data/2013649/000110465925027648/tm246985d24_ex4-3.htm" TargetMode="External"/><Relationship Id="rId73" Type="http://schemas.openxmlformats.org/officeDocument/2006/relationships/hyperlink" Target="https://www.sec.gov/Archives/edgar/data/2013649/000110465925027648/tm246985d24_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2026-06-05T15:47:27Z</dcterms:created>
  <dcterms:modified xsi:type="dcterms:W3CDTF">2026-06-05T15:47:27Z</dcterms:modified>
</cp:coreProperties>
</file>