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808"/>
        <w:gridCol w:w="3332"/>
        <w:gridCol w:w="3065"/>
      </w:tblGrid>
      <w:tr>
        <w:trPr/>
        <w:tc>
          <w:tcPr>
            <w:tcW w:w="3808"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688"/>
            </w:tblGrid>
            <w:tr>
              <w:trPr/>
              <w:tc>
                <w:tcPr>
                  <w:tcW w:w="3688" w:type="dxa"/>
                  <w:tcBorders/>
                  <w:vAlign w:val="center"/>
                </w:tcPr>
                <w:p>
                  <w:pPr>
                    <w:pStyle w:val="TableContents"/>
                    <w:bidi w:val="0"/>
                    <w:spacing w:before="0" w:after="283"/>
                    <w:jc w:val="left"/>
                    <w:rPr/>
                  </w:pPr>
                  <w:hyperlink r:id="rId4">
                    <w:r>
                      <w:rPr>
                        <w:rStyle w:val="InternetLink"/>
                      </w:rPr>
                      <w:t>ZHANG TAISU</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29"/>
              <w:gridCol w:w="1229"/>
              <w:gridCol w:w="1230"/>
            </w:tblGrid>
            <w:tr>
              <w:trPr/>
              <w:tc>
                <w:tcPr>
                  <w:tcW w:w="122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22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2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688"/>
            </w:tblGrid>
            <w:tr>
              <w:trPr/>
              <w:tc>
                <w:tcPr>
                  <w:tcW w:w="368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TOWER B, HONGQIAO LIANHE BUILDING</w:t>
                  </w:r>
                </w:p>
              </w:tc>
            </w:tr>
            <w:tr>
              <w:trPr/>
              <w:tc>
                <w:tcPr>
                  <w:tcW w:w="368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NO. 99 KAIHONG ROAD, CHANGNING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229"/>
              <w:gridCol w:w="1229"/>
              <w:gridCol w:w="1230"/>
            </w:tblGrid>
            <w:tr>
              <w:trPr/>
              <w:tc>
                <w:tcPr>
                  <w:tcW w:w="1229"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SHANGHAI</w:t>
                  </w:r>
                </w:p>
              </w:tc>
              <w:tc>
                <w:tcPr>
                  <w:tcW w:w="1229"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SHANGHAI</w:t>
                  </w:r>
                </w:p>
              </w:tc>
              <w:tc>
                <w:tcPr>
                  <w:tcW w:w="123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229"/>
              <w:gridCol w:w="1229"/>
              <w:gridCol w:w="1230"/>
            </w:tblGrid>
            <w:tr>
              <w:trPr/>
              <w:tc>
                <w:tcPr>
                  <w:tcW w:w="122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22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2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688"/>
            </w:tblGrid>
            <w:tr>
              <w:trPr/>
              <w:tc>
                <w:tcPr>
                  <w:tcW w:w="3688"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33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Chagee Holdings Ltd.</w:t>
              </w:r>
            </w:hyperlink>
            <w:r>
              <w:rPr/>
              <w:t xml:space="preserve"> [ </w:t>
            </w:r>
            <w:r>
              <w:rPr>
                <w:rFonts w:ascii="Times;serif" w:hAnsi="Times;serif"/>
                <w:color w:val="0000FF"/>
                <w:sz w:val="24"/>
                <w:shd w:fill="FFFFFF" w:val="clear"/>
              </w:rPr>
              <w:t>CHA</w:t>
            </w:r>
            <w:r>
              <w:rPr/>
              <w:t xml:space="preserve"> ] </w:t>
              <w:br/>
            </w:r>
            <w:r>
              <w:rPr>
                <w:rFonts w:ascii="arial;helvetica;sans-serif" w:hAnsi="arial;helvetica;sans-serif"/>
                <w:sz w:val="20"/>
              </w:rPr>
              <w:t>Foreign Trading Symbol</w:t>
            </w:r>
          </w:p>
        </w:tc>
        <w:tc>
          <w:tcPr>
            <w:tcW w:w="3065"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1"/>
              <w:gridCol w:w="441"/>
              <w:gridCol w:w="1032"/>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5"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80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33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09/18/2026</w:t>
            </w:r>
          </w:p>
        </w:tc>
        <w:tc>
          <w:tcPr>
            <w:tcW w:w="306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80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33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5"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5"/>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6"/>
        <w:gridCol w:w="903"/>
        <w:gridCol w:w="772"/>
        <w:gridCol w:w="600"/>
        <w:gridCol w:w="352"/>
        <w:gridCol w:w="857"/>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Restricted Stock Units</w:t>
            </w:r>
            <w:r>
              <w:rPr>
                <w:rFonts w:ascii="Times;serif" w:hAnsi="Times;serif"/>
                <w:color w:val="008000"/>
                <w:position w:val="7"/>
                <w:sz w:val="16"/>
                <w:sz w:val="20"/>
                <w:shd w:fill="FFFFFF" w:val="clear"/>
              </w:rPr>
              <w:t>(1)</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4,363</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4,363</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granted pursuant to the Chagee Holdings Limited Public Company Share Incentive Plan (the "Plan"). Subject to the terms of the Plan, the RSUs become fully vested on December 15, 2026. Each RSU represents a contingent right to receive one Class A ordinary share.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Taisu Zhang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8590" TargetMode="External"/><Relationship Id="rId5" Type="http://schemas.openxmlformats.org/officeDocument/2006/relationships/hyperlink" Target="http://www.sec.gov/cgi-bin/browse-edgar?action=getcompany&amp;CIK=000201364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617</Words>
  <Characters>3356</Characters>
  <CharactersWithSpaces>3905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