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Lu Mian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1"/>
        <w:gridCol w:w="771"/>
        <w:gridCol w:w="599"/>
        <w:gridCol w:w="350"/>
        <w:gridCol w:w="934"/>
        <w:gridCol w:w="459"/>
        <w:gridCol w:w="621"/>
        <w:gridCol w:w="1170"/>
        <w:gridCol w:w="100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33,726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and the reporting person's continuous service through each vesting date, the RSUs vest in two equal installments on the first and second anniversaries of June 15, 2026, with 16,863 RSUs vest on June 15, 2027 and 16,863 RSUs vest on June 15, 2028.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Mian Lu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411"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3525</Characters>
  <CharactersWithSpaces>4109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